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9" w:lineRule="exact"/>
      </w:pPr>
    </w:p>
    <w:p>
      <w:pPr>
        <w:keepNext w:val="0"/>
        <w:keepLines w:val="0"/>
        <w:pageBreakBefore w:val="0"/>
        <w:widowControl/>
        <w:kinsoku w:val="0"/>
        <w:wordWrap/>
        <w:overflowPunct/>
        <w:topLinePunct w:val="0"/>
        <w:autoSpaceDE w:val="0"/>
        <w:autoSpaceDN w:val="0"/>
        <w:bidi w:val="0"/>
        <w:adjustRightInd w:val="0"/>
        <w:snapToGrid w:val="0"/>
        <w:spacing w:line="288" w:lineRule="auto"/>
        <w:ind w:right="0"/>
        <w:jc w:val="center"/>
        <w:textAlignment w:val="baseline"/>
        <w:outlineLvl w:val="0"/>
        <w:rPr>
          <w:rFonts w:hint="eastAsia" w:ascii="宋体" w:hAnsi="宋体" w:eastAsia="宋体" w:cs="宋体"/>
          <w:spacing w:val="-38"/>
          <w:sz w:val="71"/>
          <w:szCs w:val="71"/>
          <w:lang w:val="en-US" w:eastAsia="zh-CN"/>
          <w14:textOutline w14:w="9525" w14:cap="flat" w14:cmpd="sng">
            <w14:solidFill>
              <w14:srgbClr w14:val="000000"/>
            </w14:solidFill>
            <w14:prstDash w14:val="solid"/>
            <w14:miter w14:val="0"/>
          </w14:textOutline>
        </w:rPr>
      </w:pPr>
      <w:r>
        <w:rPr>
          <w:rFonts w:hint="eastAsia" w:ascii="宋体" w:hAnsi="宋体" w:eastAsia="宋体" w:cs="宋体"/>
          <w:spacing w:val="-38"/>
          <w:sz w:val="71"/>
          <w:szCs w:val="71"/>
          <w:lang w:val="en-US" w:eastAsia="zh-CN"/>
          <w14:textOutline w14:w="9525" w14:cap="flat" w14:cmpd="sng">
            <w14:solidFill>
              <w14:srgbClr w14:val="000000"/>
            </w14:solidFill>
            <w14:prstDash w14:val="solid"/>
            <w14:miter w14:val="0"/>
          </w14:textOutline>
        </w:rPr>
        <w:t>湖北省</w:t>
      </w:r>
      <w:r>
        <w:rPr>
          <w:rFonts w:ascii="宋体" w:hAnsi="宋体" w:eastAsia="宋体" w:cs="宋体"/>
          <w:spacing w:val="-38"/>
          <w:sz w:val="71"/>
          <w:szCs w:val="71"/>
          <w14:textOutline w14:w="9525" w14:cap="flat" w14:cmpd="sng">
            <w14:solidFill>
              <w14:srgbClr w14:val="000000"/>
            </w14:solidFill>
            <w14:prstDash w14:val="solid"/>
            <w14:miter w14:val="0"/>
          </w14:textOutline>
        </w:rPr>
        <w:t>消防救</w:t>
      </w:r>
      <w:r>
        <w:rPr>
          <w:rFonts w:hint="eastAsia" w:ascii="宋体" w:hAnsi="宋体" w:eastAsia="宋体" w:cs="宋体"/>
          <w:spacing w:val="-38"/>
          <w:sz w:val="71"/>
          <w:szCs w:val="71"/>
          <w:lang w:val="en-US" w:eastAsia="zh-CN"/>
          <w14:textOutline w14:w="9525" w14:cap="flat" w14:cmpd="sng">
            <w14:solidFill>
              <w14:srgbClr w14:val="000000"/>
            </w14:solidFill>
            <w14:prstDash w14:val="solid"/>
            <w14:miter w14:val="0"/>
          </w14:textOutline>
        </w:rPr>
        <w:t>援总队本级</w:t>
      </w:r>
    </w:p>
    <w:p>
      <w:pPr>
        <w:keepNext w:val="0"/>
        <w:keepLines w:val="0"/>
        <w:pageBreakBefore w:val="0"/>
        <w:widowControl/>
        <w:kinsoku w:val="0"/>
        <w:wordWrap/>
        <w:overflowPunct/>
        <w:topLinePunct w:val="0"/>
        <w:autoSpaceDE w:val="0"/>
        <w:autoSpaceDN w:val="0"/>
        <w:bidi w:val="0"/>
        <w:adjustRightInd w:val="0"/>
        <w:snapToGrid w:val="0"/>
        <w:spacing w:line="288" w:lineRule="auto"/>
        <w:ind w:right="0"/>
        <w:jc w:val="center"/>
        <w:textAlignment w:val="baseline"/>
        <w:outlineLvl w:val="0"/>
        <w:rPr>
          <w:rFonts w:ascii="宋体" w:hAnsi="宋体" w:eastAsia="宋体" w:cs="宋体"/>
          <w:sz w:val="71"/>
          <w:szCs w:val="71"/>
        </w:rPr>
      </w:pPr>
      <w:r>
        <w:rPr>
          <w:rFonts w:ascii="Times New Roman" w:hAnsi="Times New Roman" w:eastAsia="Times New Roman" w:cs="Times New Roman"/>
          <w:spacing w:val="-23"/>
          <w:sz w:val="71"/>
          <w:szCs w:val="71"/>
        </w:rPr>
        <w:t>2024</w:t>
      </w:r>
      <w:r>
        <w:rPr>
          <w:rFonts w:ascii="宋体" w:hAnsi="宋体" w:eastAsia="宋体" w:cs="宋体"/>
          <w:spacing w:val="-23"/>
          <w:sz w:val="71"/>
          <w:szCs w:val="71"/>
          <w14:textOutline w14:w="9525" w14:cap="flat" w14:cmpd="sng">
            <w14:solidFill>
              <w14:srgbClr w14:val="000000"/>
            </w14:solidFill>
            <w14:prstDash w14:val="solid"/>
            <w14:miter w14:val="0"/>
          </w14:textOutline>
        </w:rPr>
        <w:t>年部门预算</w:t>
      </w: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spacing w:line="335" w:lineRule="auto"/>
        <w:jc w:val="center"/>
      </w:pPr>
      <w:r>
        <w:rPr>
          <w:position w:val="-62"/>
        </w:rPr>
        <w:drawing>
          <wp:inline distT="0" distB="0" distL="0" distR="0">
            <wp:extent cx="1991360" cy="1991360"/>
            <wp:effectExtent l="0" t="0" r="5080" b="508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3"/>
                    <a:stretch>
                      <a:fillRect/>
                    </a:stretch>
                  </pic:blipFill>
                  <pic:spPr>
                    <a:xfrm>
                      <a:off x="0" y="0"/>
                      <a:ext cx="1991867" cy="1991867"/>
                    </a:xfrm>
                    <a:prstGeom prst="rect">
                      <a:avLst/>
                    </a:prstGeom>
                  </pic:spPr>
                </pic:pic>
              </a:graphicData>
            </a:graphic>
          </wp:inline>
        </w:drawing>
      </w:r>
    </w:p>
    <w:p>
      <w:pPr>
        <w:pStyle w:val="3"/>
        <w:spacing w:line="245" w:lineRule="auto"/>
      </w:pPr>
    </w:p>
    <w:p>
      <w:pPr>
        <w:pStyle w:val="3"/>
        <w:spacing w:line="245" w:lineRule="auto"/>
      </w:pPr>
    </w:p>
    <w:p>
      <w:pPr>
        <w:pStyle w:val="3"/>
        <w:spacing w:line="245" w:lineRule="auto"/>
      </w:pPr>
    </w:p>
    <w:p>
      <w:pPr>
        <w:spacing w:before="202" w:line="200" w:lineRule="auto"/>
        <w:jc w:val="center"/>
        <w:rPr>
          <w:rFonts w:ascii="微软雅黑" w:hAnsi="微软雅黑" w:eastAsia="微软雅黑" w:cs="微软雅黑"/>
          <w:sz w:val="47"/>
          <w:szCs w:val="47"/>
        </w:rPr>
      </w:pPr>
      <w:r>
        <w:rPr>
          <w:rFonts w:hint="default" w:ascii="Times New Roman" w:hAnsi="Times New Roman" w:eastAsia="Times New Roman" w:cs="Times New Roman"/>
          <w:sz w:val="47"/>
          <w:szCs w:val="47"/>
        </w:rPr>
        <w:t>2024</w:t>
      </w:r>
      <w:r>
        <w:rPr>
          <w:rFonts w:hint="default" w:ascii="Times New Roman" w:hAnsi="Times New Roman" w:eastAsia="微软雅黑" w:cs="Times New Roman"/>
          <w:sz w:val="47"/>
          <w:szCs w:val="47"/>
        </w:rPr>
        <w:t>年</w:t>
      </w:r>
      <w:r>
        <w:rPr>
          <w:rFonts w:hint="default" w:ascii="Times New Roman" w:hAnsi="Times New Roman" w:eastAsia="微软雅黑" w:cs="Times New Roman"/>
          <w:sz w:val="47"/>
          <w:szCs w:val="47"/>
          <w:lang w:val="en-US" w:eastAsia="zh-CN"/>
        </w:rPr>
        <w:t>4</w:t>
      </w:r>
      <w:r>
        <w:rPr>
          <w:rFonts w:hint="default" w:ascii="Times New Roman" w:hAnsi="Times New Roman" w:eastAsia="微软雅黑" w:cs="Times New Roman"/>
          <w:sz w:val="47"/>
          <w:szCs w:val="47"/>
        </w:rPr>
        <w:t>月</w:t>
      </w:r>
    </w:p>
    <w:p>
      <w:pPr>
        <w:spacing w:line="200" w:lineRule="auto"/>
        <w:rPr>
          <w:rFonts w:ascii="微软雅黑" w:hAnsi="微软雅黑" w:eastAsia="微软雅黑" w:cs="微软雅黑"/>
          <w:sz w:val="47"/>
          <w:szCs w:val="47"/>
        </w:rPr>
        <w:sectPr>
          <w:headerReference r:id="rId5" w:type="default"/>
          <w:pgSz w:w="11906" w:h="16839"/>
          <w:pgMar w:top="2098" w:right="1531" w:bottom="1984" w:left="1531" w:header="0" w:footer="0" w:gutter="0"/>
          <w:pgNumType w:fmt="decimal"/>
          <w:cols w:space="720" w:num="1"/>
        </w:sectPr>
      </w:pPr>
    </w:p>
    <w:p>
      <w:pPr>
        <w:pStyle w:val="3"/>
        <w:spacing w:line="266" w:lineRule="auto"/>
      </w:pPr>
    </w:p>
    <w:p>
      <w:pPr>
        <w:pStyle w:val="3"/>
        <w:spacing w:line="266" w:lineRule="auto"/>
      </w:pPr>
    </w:p>
    <w:p>
      <w:pPr>
        <w:pStyle w:val="3"/>
        <w:tabs>
          <w:tab w:val="left" w:pos="7393"/>
        </w:tabs>
        <w:spacing w:line="266" w:lineRule="auto"/>
        <w:rPr>
          <w:rFonts w:hint="eastAsia" w:eastAsia="宋体"/>
          <w:lang w:eastAsia="zh-CN"/>
        </w:rPr>
      </w:pPr>
      <w:r>
        <w:rPr>
          <w:rFonts w:hint="eastAsia" w:eastAsia="宋体"/>
          <w:lang w:eastAsia="zh-CN"/>
        </w:rPr>
        <w:tab/>
      </w:r>
    </w:p>
    <w:p>
      <w:pPr>
        <w:pStyle w:val="3"/>
        <w:spacing w:line="267" w:lineRule="auto"/>
      </w:pPr>
    </w:p>
    <w:p>
      <w:pPr>
        <w:pStyle w:val="3"/>
        <w:spacing w:line="267" w:lineRule="auto"/>
      </w:pPr>
    </w:p>
    <w:p>
      <w:pPr>
        <w:pStyle w:val="3"/>
        <w:spacing w:line="267" w:lineRule="auto"/>
      </w:pPr>
    </w:p>
    <w:sdt>
      <w:sdtPr>
        <w:rPr>
          <w:rFonts w:ascii="微软雅黑" w:hAnsi="微软雅黑" w:eastAsia="微软雅黑" w:cs="微软雅黑"/>
          <w:sz w:val="43"/>
          <w:szCs w:val="43"/>
        </w:rPr>
        <w:id w:val="1"/>
        <w:docPartObj>
          <w:docPartGallery w:val="Table of Contents"/>
          <w:docPartUnique/>
        </w:docPartObj>
      </w:sdtPr>
      <w:sdtEndPr>
        <w:rPr>
          <w:rFonts w:hint="default" w:ascii="Times New Roman" w:hAnsi="Times New Roman" w:eastAsia="黑体" w:cs="Times New Roman"/>
          <w:position w:val="1"/>
          <w:sz w:val="31"/>
          <w:szCs w:val="31"/>
          <w:lang w:val="en-US" w:eastAsia="zh-CN"/>
        </w:rPr>
      </w:sdtEndPr>
      <w:sdtContent>
        <w:p>
          <w:pPr>
            <w:spacing w:before="184" w:line="183" w:lineRule="auto"/>
            <w:ind w:left="210" w:leftChars="100"/>
            <w:jc w:val="center"/>
            <w:rPr>
              <w:rFonts w:ascii="微软雅黑" w:hAnsi="微软雅黑" w:eastAsia="微软雅黑" w:cs="微软雅黑"/>
              <w:sz w:val="43"/>
              <w:szCs w:val="43"/>
            </w:rPr>
          </w:pPr>
          <w:bookmarkStart w:id="0" w:name="bookmark1"/>
          <w:bookmarkEnd w:id="0"/>
          <w:r>
            <w:rPr>
              <w:rFonts w:ascii="微软雅黑" w:hAnsi="微软雅黑" w:eastAsia="微软雅黑" w:cs="微软雅黑"/>
              <w:spacing w:val="-32"/>
              <w:sz w:val="43"/>
              <w:szCs w:val="43"/>
            </w:rPr>
            <w:t>目</w:t>
          </w:r>
          <w:r>
            <w:rPr>
              <w:rFonts w:ascii="微软雅黑" w:hAnsi="微软雅黑" w:eastAsia="微软雅黑" w:cs="微软雅黑"/>
              <w:spacing w:val="24"/>
              <w:sz w:val="43"/>
              <w:szCs w:val="43"/>
            </w:rPr>
            <w:t xml:space="preserve">   </w:t>
          </w:r>
          <w:r>
            <w:rPr>
              <w:rFonts w:ascii="微软雅黑" w:hAnsi="微软雅黑" w:eastAsia="微软雅黑" w:cs="微软雅黑"/>
              <w:spacing w:val="-32"/>
              <w:sz w:val="43"/>
              <w:szCs w:val="43"/>
            </w:rPr>
            <w:t>录</w:t>
          </w:r>
        </w:p>
        <w:p>
          <w:pPr>
            <w:pStyle w:val="3"/>
            <w:spacing w:line="293" w:lineRule="auto"/>
            <w:jc w:val="center"/>
          </w:pPr>
        </w:p>
        <w:p>
          <w:pPr>
            <w:pStyle w:val="3"/>
            <w:spacing w:line="293" w:lineRule="auto"/>
            <w:jc w:val="center"/>
          </w:pPr>
        </w:p>
        <w:p>
          <w:pPr>
            <w:tabs>
              <w:tab w:val="right" w:leader="dot" w:pos="8645"/>
            </w:tabs>
            <w:spacing w:before="100" w:line="415" w:lineRule="exact"/>
            <w:ind w:left="457"/>
            <w:jc w:val="center"/>
            <w:rPr>
              <w:rFonts w:hint="default" w:ascii="Times New Roman" w:hAnsi="Times New Roman" w:eastAsia="Times New Roman" w:cs="Times New Roman"/>
              <w:sz w:val="31"/>
              <w:szCs w:val="31"/>
            </w:rPr>
          </w:pPr>
          <w:r>
            <w:rPr>
              <w:rFonts w:hint="default" w:ascii="Times New Roman" w:hAnsi="Times New Roman" w:eastAsia="微软雅黑" w:cs="Times New Roman"/>
              <w:b w:val="0"/>
              <w:bCs w:val="0"/>
              <w:spacing w:val="3"/>
              <w:sz w:val="31"/>
              <w:szCs w:val="31"/>
            </w:rPr>
            <w:t xml:space="preserve">第一部分 </w:t>
          </w:r>
          <w:r>
            <w:rPr>
              <w:rFonts w:hint="default" w:ascii="Times New Roman" w:hAnsi="Times New Roman" w:eastAsia="微软雅黑" w:cs="Times New Roman"/>
              <w:b w:val="0"/>
              <w:bCs w:val="0"/>
              <w:spacing w:val="3"/>
              <w:sz w:val="31"/>
              <w:szCs w:val="31"/>
              <w:lang w:val="en-US" w:eastAsia="zh-CN"/>
            </w:rPr>
            <w:t>湖北省消防救援总队</w:t>
          </w:r>
          <w:r>
            <w:rPr>
              <w:rFonts w:hint="eastAsia" w:ascii="Times New Roman" w:hAnsi="Times New Roman" w:eastAsia="微软雅黑" w:cs="Times New Roman"/>
              <w:b w:val="0"/>
              <w:bCs w:val="0"/>
              <w:spacing w:val="3"/>
              <w:sz w:val="31"/>
              <w:szCs w:val="31"/>
              <w:lang w:val="en-US" w:eastAsia="zh-CN"/>
            </w:rPr>
            <w:t>本级</w:t>
          </w:r>
          <w:r>
            <w:rPr>
              <w:rFonts w:hint="default" w:ascii="Times New Roman" w:hAnsi="Times New Roman" w:eastAsia="微软雅黑" w:cs="Times New Roman"/>
              <w:b w:val="0"/>
              <w:bCs w:val="0"/>
              <w:spacing w:val="3"/>
              <w:sz w:val="31"/>
              <w:szCs w:val="31"/>
            </w:rPr>
            <w:t>概况</w:t>
          </w:r>
          <w:r>
            <w:rPr>
              <w:rFonts w:hint="default" w:ascii="Times New Roman" w:hAnsi="Times New Roman" w:eastAsia="黑体" w:cs="Times New Roman"/>
              <w:spacing w:val="-135"/>
              <w:position w:val="1"/>
              <w:sz w:val="31"/>
              <w:szCs w:val="31"/>
            </w:rPr>
            <w:t xml:space="preserve"> </w:t>
          </w:r>
          <w:r>
            <w:rPr>
              <w:rFonts w:hint="default" w:ascii="Times New Roman" w:hAnsi="Times New Roman" w:eastAsia="黑体" w:cs="Times New Roman"/>
              <w:position w:val="1"/>
              <w:sz w:val="31"/>
              <w:szCs w:val="31"/>
            </w:rPr>
            <w:tab/>
          </w:r>
          <w:r>
            <w:rPr>
              <w:rFonts w:hint="default" w:ascii="Times New Roman" w:hAnsi="Times New Roman" w:cs="Times New Roman"/>
            </w:rPr>
            <w:fldChar w:fldCharType="begin"/>
          </w:r>
          <w:r>
            <w:rPr>
              <w:rFonts w:hint="default" w:ascii="Times New Roman" w:hAnsi="Times New Roman" w:cs="Times New Roman"/>
            </w:rPr>
            <w:instrText xml:space="preserve"> HYPERLINK \l "bookmark2" </w:instrText>
          </w:r>
          <w:r>
            <w:rPr>
              <w:rFonts w:hint="default" w:ascii="Times New Roman" w:hAnsi="Times New Roman" w:cs="Times New Roman"/>
            </w:rPr>
            <w:fldChar w:fldCharType="separate"/>
          </w:r>
          <w:r>
            <w:rPr>
              <w:rFonts w:hint="default" w:ascii="Times New Roman" w:hAnsi="Times New Roman" w:eastAsia="Times New Roman" w:cs="Times New Roman"/>
              <w:spacing w:val="-33"/>
              <w:position w:val="1"/>
              <w:sz w:val="31"/>
              <w:szCs w:val="31"/>
            </w:rPr>
            <w:t>1</w:t>
          </w:r>
          <w:r>
            <w:rPr>
              <w:rFonts w:hint="default" w:ascii="Times New Roman" w:hAnsi="Times New Roman" w:eastAsia="Times New Roman" w:cs="Times New Roman"/>
              <w:spacing w:val="-33"/>
              <w:position w:val="1"/>
              <w:sz w:val="31"/>
              <w:szCs w:val="31"/>
            </w:rPr>
            <w:fldChar w:fldCharType="end"/>
          </w:r>
        </w:p>
        <w:p>
          <w:pPr>
            <w:tabs>
              <w:tab w:val="right" w:leader="dot" w:pos="8645"/>
            </w:tabs>
            <w:spacing w:before="191" w:line="207" w:lineRule="auto"/>
            <w:ind w:left="477"/>
            <w:jc w:val="center"/>
            <w:rPr>
              <w:rFonts w:hint="default" w:ascii="Times New Roman" w:hAnsi="Times New Roman" w:eastAsia="Times New Roman" w:cs="Times New Roman"/>
              <w:sz w:val="31"/>
              <w:szCs w:val="31"/>
            </w:rPr>
          </w:pPr>
          <w:r>
            <w:rPr>
              <w:rFonts w:hint="default" w:ascii="Times New Roman" w:hAnsi="Times New Roman" w:eastAsia="仿宋_GB2312" w:cs="Times New Roman"/>
              <w:spacing w:val="3"/>
              <w:sz w:val="31"/>
              <w:szCs w:val="31"/>
            </w:rPr>
            <w:t>一、部门职责</w:t>
          </w:r>
          <w:r>
            <w:rPr>
              <w:rFonts w:hint="default" w:ascii="Times New Roman" w:hAnsi="Times New Roman" w:eastAsia="仿宋_GB2312" w:cs="Times New Roman"/>
              <w:spacing w:val="-72"/>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44"/>
              <w:sz w:val="31"/>
              <w:szCs w:val="31"/>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"bookmark1" </w:instrText>
          </w:r>
          <w:r>
            <w:rPr>
              <w:rFonts w:hint="default" w:ascii="Times New Roman" w:hAnsi="Times New Roman" w:cs="Times New Roman"/>
            </w:rPr>
            <w:fldChar w:fldCharType="separate"/>
          </w:r>
          <w:r>
            <w:rPr>
              <w:rFonts w:hint="default" w:ascii="Times New Roman" w:hAnsi="Times New Roman" w:eastAsia="Times New Roman" w:cs="Times New Roman"/>
              <w:sz w:val="31"/>
              <w:szCs w:val="31"/>
            </w:rPr>
            <w:t>2</w:t>
          </w:r>
          <w:r>
            <w:rPr>
              <w:rFonts w:hint="default" w:ascii="Times New Roman" w:hAnsi="Times New Roman" w:eastAsia="Times New Roman" w:cs="Times New Roman"/>
              <w:sz w:val="31"/>
              <w:szCs w:val="31"/>
            </w:rPr>
            <w:fldChar w:fldCharType="end"/>
          </w:r>
        </w:p>
        <w:p>
          <w:pPr>
            <w:tabs>
              <w:tab w:val="right" w:leader="dot" w:pos="8645"/>
            </w:tabs>
            <w:spacing w:before="140" w:line="207" w:lineRule="auto"/>
            <w:ind w:left="472"/>
            <w:jc w:val="center"/>
            <w:rPr>
              <w:rFonts w:hint="default" w:ascii="Times New Roman" w:hAnsi="Times New Roman" w:eastAsia="微软雅黑" w:cs="Times New Roman"/>
              <w:spacing w:val="-44"/>
              <w:sz w:val="31"/>
              <w:szCs w:val="31"/>
              <w:lang w:val="en-US" w:eastAsia="zh-CN"/>
            </w:rPr>
          </w:pPr>
          <w:r>
            <w:rPr>
              <w:rFonts w:hint="default" w:ascii="Times New Roman" w:hAnsi="Times New Roman" w:eastAsia="仿宋_GB2312" w:cs="Times New Roman"/>
              <w:spacing w:val="4"/>
              <w:sz w:val="31"/>
              <w:szCs w:val="31"/>
            </w:rPr>
            <w:t>二、机构设置</w:t>
          </w:r>
          <w:r>
            <w:rPr>
              <w:rFonts w:hint="default" w:ascii="Times New Roman" w:hAnsi="Times New Roman" w:eastAsia="仿宋_GB2312"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eastAsia="zh-CN"/>
            </w:rPr>
            <w:t>3</w:t>
          </w:r>
        </w:p>
        <w:p>
          <w:pPr>
            <w:tabs>
              <w:tab w:val="right" w:leader="dot" w:pos="8645"/>
            </w:tabs>
            <w:spacing w:before="136" w:line="415" w:lineRule="exact"/>
            <w:ind w:left="457"/>
            <w:jc w:val="center"/>
            <w:rPr>
              <w:rFonts w:hint="default" w:ascii="Times New Roman" w:hAnsi="Times New Roman" w:eastAsia="黑体" w:cs="Times New Roman"/>
              <w:sz w:val="31"/>
              <w:szCs w:val="31"/>
              <w:lang w:val="en-US" w:eastAsia="zh-CN"/>
            </w:rPr>
          </w:pPr>
          <w:r>
            <w:rPr>
              <w:rFonts w:hint="default" w:ascii="Times New Roman" w:hAnsi="Times New Roman" w:eastAsia="微软雅黑" w:cs="Times New Roman"/>
              <w:b w:val="0"/>
              <w:bCs w:val="0"/>
              <w:spacing w:val="3"/>
              <w:sz w:val="31"/>
              <w:szCs w:val="31"/>
              <w:lang w:val="en-US" w:eastAsia="zh-CN"/>
            </w:rPr>
            <w:t>第二部分 湖北省消防救援总队</w:t>
          </w:r>
          <w:r>
            <w:rPr>
              <w:rFonts w:hint="eastAsia" w:ascii="Times New Roman" w:hAnsi="Times New Roman" w:eastAsia="微软雅黑" w:cs="Times New Roman"/>
              <w:b w:val="0"/>
              <w:bCs w:val="0"/>
              <w:spacing w:val="3"/>
              <w:sz w:val="31"/>
              <w:szCs w:val="31"/>
              <w:lang w:val="en-US" w:eastAsia="zh-CN"/>
            </w:rPr>
            <w:t>本级</w:t>
          </w:r>
          <w:r>
            <w:rPr>
              <w:rFonts w:hint="default" w:ascii="Times New Roman" w:hAnsi="Times New Roman" w:eastAsia="微软雅黑" w:cs="Times New Roman"/>
              <w:b w:val="0"/>
              <w:bCs w:val="0"/>
              <w:spacing w:val="3"/>
              <w:sz w:val="31"/>
              <w:szCs w:val="31"/>
              <w:lang w:val="en-US" w:eastAsia="zh-CN"/>
            </w:rPr>
            <w:t>2024年部门预算表</w:t>
          </w:r>
          <w:r>
            <w:rPr>
              <w:rFonts w:hint="default" w:ascii="Times New Roman" w:hAnsi="Times New Roman" w:eastAsia="黑体" w:cs="Times New Roman"/>
              <w:spacing w:val="-140"/>
              <w:position w:val="1"/>
              <w:sz w:val="31"/>
              <w:szCs w:val="31"/>
            </w:rPr>
            <w:t xml:space="preserve"> </w:t>
          </w:r>
          <w:r>
            <w:rPr>
              <w:rFonts w:hint="default" w:ascii="Times New Roman" w:hAnsi="Times New Roman" w:eastAsia="黑体" w:cs="Times New Roman"/>
              <w:position w:val="1"/>
              <w:sz w:val="31"/>
              <w:szCs w:val="31"/>
            </w:rPr>
            <w:tab/>
          </w:r>
          <w:r>
            <w:rPr>
              <w:rFonts w:hint="default" w:ascii="Times New Roman" w:hAnsi="Times New Roman" w:eastAsia="黑体" w:cs="Times New Roman"/>
              <w:position w:val="1"/>
              <w:sz w:val="31"/>
              <w:szCs w:val="31"/>
              <w:lang w:val="en-US" w:eastAsia="zh-CN"/>
            </w:rPr>
            <w:t>4</w:t>
          </w:r>
        </w:p>
        <w:p>
          <w:pPr>
            <w:tabs>
              <w:tab w:val="right" w:leader="dot" w:pos="8645"/>
            </w:tabs>
            <w:spacing w:before="190" w:line="207" w:lineRule="auto"/>
            <w:ind w:left="477"/>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5"/>
              <w:sz w:val="31"/>
              <w:szCs w:val="31"/>
            </w:rPr>
            <w:t>一、部门收支总表</w:t>
          </w:r>
          <w:r>
            <w:rPr>
              <w:rFonts w:hint="default" w:ascii="Times New Roman" w:hAnsi="Times New Roman" w:eastAsia="仿宋_GB2312"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5</w:t>
          </w:r>
        </w:p>
        <w:p>
          <w:pPr>
            <w:tabs>
              <w:tab w:val="right" w:leader="dot" w:pos="8645"/>
            </w:tabs>
            <w:spacing w:before="141" w:line="207" w:lineRule="auto"/>
            <w:ind w:left="472"/>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5"/>
              <w:sz w:val="31"/>
              <w:szCs w:val="31"/>
            </w:rPr>
            <w:t>二、部门收入总表</w:t>
          </w:r>
          <w:r>
            <w:rPr>
              <w:rFonts w:hint="default" w:ascii="Times New Roman" w:hAnsi="Times New Roman" w:eastAsia="微软雅黑" w:cs="Times New Roman"/>
              <w:spacing w:val="-69"/>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6</w:t>
          </w:r>
        </w:p>
        <w:p>
          <w:pPr>
            <w:tabs>
              <w:tab w:val="right" w:leader="dot" w:pos="8645"/>
            </w:tabs>
            <w:spacing w:before="141" w:line="207" w:lineRule="auto"/>
            <w:ind w:left="477"/>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5"/>
              <w:sz w:val="31"/>
              <w:szCs w:val="31"/>
            </w:rPr>
            <w:t>三、部门支出总表</w:t>
          </w:r>
          <w:r>
            <w:rPr>
              <w:rFonts w:hint="default" w:ascii="Times New Roman" w:hAnsi="Times New Roman" w:eastAsia="微软雅黑"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55"/>
              <w:sz w:val="31"/>
              <w:szCs w:val="31"/>
            </w:rPr>
            <w:t xml:space="preserve"> </w:t>
          </w:r>
          <w:r>
            <w:rPr>
              <w:rFonts w:hint="default" w:ascii="Times New Roman" w:hAnsi="Times New Roman" w:eastAsia="微软雅黑" w:cs="Times New Roman"/>
              <w:spacing w:val="-55"/>
              <w:sz w:val="31"/>
              <w:szCs w:val="31"/>
              <w:lang w:val="en-US" w:eastAsia="zh-CN"/>
            </w:rPr>
            <w:t>7</w:t>
          </w:r>
        </w:p>
        <w:p>
          <w:pPr>
            <w:tabs>
              <w:tab w:val="right" w:leader="dot" w:pos="8647"/>
            </w:tabs>
            <w:spacing w:before="141" w:line="207" w:lineRule="auto"/>
            <w:ind w:left="501"/>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3"/>
              <w:sz w:val="31"/>
              <w:szCs w:val="31"/>
            </w:rPr>
            <w:t>四、财政拨款收支总表</w:t>
          </w:r>
          <w:r>
            <w:rPr>
              <w:rFonts w:hint="default" w:ascii="Times New Roman" w:hAnsi="Times New Roman" w:eastAsia="微软雅黑" w:cs="Times New Roman"/>
              <w:spacing w:val="-67"/>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40"/>
              <w:sz w:val="31"/>
              <w:szCs w:val="31"/>
            </w:rPr>
            <w:t xml:space="preserve"> </w:t>
          </w:r>
          <w:r>
            <w:rPr>
              <w:rFonts w:hint="default" w:ascii="Times New Roman" w:hAnsi="Times New Roman" w:eastAsia="微软雅黑" w:cs="Times New Roman"/>
              <w:spacing w:val="-40"/>
              <w:sz w:val="31"/>
              <w:szCs w:val="31"/>
              <w:lang w:eastAsia="zh-CN"/>
            </w:rPr>
            <w:t>9</w:t>
          </w:r>
        </w:p>
        <w:p>
          <w:pPr>
            <w:tabs>
              <w:tab w:val="right" w:leader="dot" w:pos="8645"/>
            </w:tabs>
            <w:spacing w:before="143" w:line="206" w:lineRule="auto"/>
            <w:ind w:left="468"/>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7"/>
              <w:sz w:val="31"/>
              <w:szCs w:val="31"/>
            </w:rPr>
            <w:t>五、一般公共预算支出表</w:t>
          </w:r>
          <w:r>
            <w:rPr>
              <w:rFonts w:hint="default" w:ascii="Times New Roman" w:hAnsi="Times New Roman" w:eastAsia="微软雅黑" w:cs="Times New Roman"/>
              <w:spacing w:val="-72"/>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8"/>
              <w:sz w:val="31"/>
              <w:szCs w:val="31"/>
            </w:rPr>
            <w:t xml:space="preserve"> </w:t>
          </w:r>
          <w:r>
            <w:rPr>
              <w:rFonts w:hint="default" w:ascii="Times New Roman" w:hAnsi="Times New Roman" w:eastAsia="微软雅黑" w:cs="Times New Roman"/>
              <w:spacing w:val="-8"/>
              <w:sz w:val="31"/>
              <w:szCs w:val="31"/>
              <w:lang w:val="en-US" w:eastAsia="zh-CN"/>
            </w:rPr>
            <w:t>10</w:t>
          </w:r>
        </w:p>
        <w:p>
          <w:pPr>
            <w:tabs>
              <w:tab w:val="right" w:leader="dot" w:pos="8645"/>
            </w:tabs>
            <w:spacing w:before="143" w:line="206" w:lineRule="auto"/>
            <w:ind w:left="476"/>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7"/>
              <w:sz w:val="31"/>
              <w:szCs w:val="31"/>
            </w:rPr>
            <w:t>六、一般公共预算基本支出表</w:t>
          </w:r>
          <w:r>
            <w:rPr>
              <w:rFonts w:hint="default" w:ascii="Times New Roman" w:hAnsi="Times New Roman" w:eastAsia="微软雅黑" w:cs="Times New Roman"/>
              <w:spacing w:val="-73"/>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12</w:t>
          </w:r>
        </w:p>
        <w:p>
          <w:pPr>
            <w:tabs>
              <w:tab w:val="right" w:leader="dot" w:pos="8645"/>
            </w:tabs>
            <w:spacing w:before="144" w:line="206" w:lineRule="auto"/>
            <w:ind w:left="469"/>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7"/>
              <w:sz w:val="31"/>
              <w:szCs w:val="31"/>
            </w:rPr>
            <w:t>七、政府性基金预算支出表</w:t>
          </w:r>
          <w:r>
            <w:rPr>
              <w:rFonts w:hint="default" w:ascii="Times New Roman" w:hAnsi="Times New Roman" w:eastAsia="微软雅黑" w:cs="Times New Roman"/>
              <w:spacing w:val="-71"/>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1</w:t>
          </w:r>
          <w:r>
            <w:rPr>
              <w:rFonts w:hint="eastAsia" w:ascii="Times New Roman" w:hAnsi="Times New Roman" w:eastAsia="微软雅黑" w:cs="Times New Roman"/>
              <w:sz w:val="31"/>
              <w:szCs w:val="31"/>
              <w:lang w:val="en-US" w:eastAsia="zh-CN"/>
            </w:rPr>
            <w:t>3</w:t>
          </w:r>
        </w:p>
        <w:p>
          <w:pPr>
            <w:tabs>
              <w:tab w:val="right" w:leader="dot" w:pos="8645"/>
            </w:tabs>
            <w:spacing w:before="143" w:line="206" w:lineRule="auto"/>
            <w:ind w:left="458"/>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6"/>
              <w:sz w:val="31"/>
              <w:szCs w:val="31"/>
            </w:rPr>
            <w:t>八、</w:t>
          </w:r>
          <w:r>
            <w:rPr>
              <w:rFonts w:hint="default" w:ascii="Times New Roman" w:hAnsi="Times New Roman" w:eastAsia="仿宋_GB2312" w:cs="Times New Roman"/>
              <w:spacing w:val="-60"/>
              <w:sz w:val="31"/>
              <w:szCs w:val="31"/>
            </w:rPr>
            <w:t xml:space="preserve"> </w:t>
          </w:r>
          <w:r>
            <w:rPr>
              <w:rFonts w:hint="default" w:ascii="Times New Roman" w:hAnsi="Times New Roman" w:eastAsia="仿宋_GB2312" w:cs="Times New Roman"/>
              <w:spacing w:val="6"/>
              <w:sz w:val="31"/>
              <w:szCs w:val="31"/>
            </w:rPr>
            <w:t>国有资本经营预算支出表</w:t>
          </w:r>
          <w:r>
            <w:rPr>
              <w:rFonts w:hint="default" w:ascii="Times New Roman" w:hAnsi="Times New Roman" w:eastAsia="微软雅黑"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25"/>
              <w:sz w:val="31"/>
              <w:szCs w:val="31"/>
              <w:lang w:val="en-US"/>
            </w:rPr>
            <w:t xml:space="preserve"> </w:t>
          </w:r>
          <w:r>
            <w:rPr>
              <w:rFonts w:hint="default" w:ascii="Times New Roman" w:hAnsi="Times New Roman" w:eastAsia="微软雅黑" w:cs="Times New Roman"/>
              <w:spacing w:val="-25"/>
              <w:sz w:val="31"/>
              <w:szCs w:val="31"/>
              <w:lang w:val="en-US" w:eastAsia="zh-CN"/>
            </w:rPr>
            <w:t>1</w:t>
          </w:r>
          <w:r>
            <w:rPr>
              <w:rFonts w:hint="eastAsia" w:ascii="Times New Roman" w:hAnsi="Times New Roman" w:eastAsia="微软雅黑" w:cs="Times New Roman"/>
              <w:spacing w:val="-25"/>
              <w:sz w:val="31"/>
              <w:szCs w:val="31"/>
              <w:lang w:val="en-US" w:eastAsia="zh-CN"/>
            </w:rPr>
            <w:t>4</w:t>
          </w:r>
        </w:p>
        <w:p>
          <w:pPr>
            <w:tabs>
              <w:tab w:val="right" w:leader="dot" w:pos="8645"/>
            </w:tabs>
            <w:spacing w:before="144" w:line="206" w:lineRule="auto"/>
            <w:ind w:left="466"/>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4"/>
              <w:sz w:val="31"/>
              <w:szCs w:val="31"/>
            </w:rPr>
            <w:t>九、财政拨款预算“三公”经费支出表</w:t>
          </w:r>
          <w:r>
            <w:rPr>
              <w:rFonts w:hint="default" w:ascii="Times New Roman" w:hAnsi="Times New Roman" w:eastAsia="仿宋_GB2312"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13"/>
              <w:sz w:val="31"/>
              <w:szCs w:val="31"/>
            </w:rPr>
            <w:t xml:space="preserve"> </w:t>
          </w:r>
          <w:r>
            <w:rPr>
              <w:rFonts w:hint="default" w:ascii="Times New Roman" w:hAnsi="Times New Roman" w:eastAsia="微软雅黑" w:cs="Times New Roman"/>
              <w:spacing w:val="-13"/>
              <w:sz w:val="31"/>
              <w:szCs w:val="31"/>
              <w:lang w:val="en-US" w:eastAsia="zh-CN"/>
            </w:rPr>
            <w:t>1</w:t>
          </w:r>
          <w:r>
            <w:rPr>
              <w:rFonts w:hint="eastAsia" w:ascii="Times New Roman" w:hAnsi="Times New Roman" w:eastAsia="微软雅黑" w:cs="Times New Roman"/>
              <w:spacing w:val="-13"/>
              <w:sz w:val="31"/>
              <w:szCs w:val="31"/>
              <w:lang w:val="en-US" w:eastAsia="zh-CN"/>
            </w:rPr>
            <w:t>5</w:t>
          </w:r>
        </w:p>
        <w:p>
          <w:pPr>
            <w:tabs>
              <w:tab w:val="right" w:leader="dot" w:pos="8645"/>
            </w:tabs>
            <w:spacing w:before="137" w:line="415" w:lineRule="exact"/>
            <w:ind w:left="457"/>
            <w:jc w:val="center"/>
            <w:rPr>
              <w:rFonts w:hint="default" w:ascii="Times New Roman" w:hAnsi="Times New Roman" w:eastAsia="黑体" w:cs="Times New Roman"/>
              <w:b w:val="0"/>
              <w:bCs w:val="0"/>
              <w:sz w:val="31"/>
              <w:szCs w:val="31"/>
              <w:lang w:val="en-US" w:eastAsia="zh-CN"/>
            </w:rPr>
          </w:pPr>
          <w:r>
            <w:rPr>
              <w:rFonts w:hint="default" w:ascii="Times New Roman" w:hAnsi="Times New Roman" w:eastAsia="微软雅黑" w:cs="Times New Roman"/>
              <w:b w:val="0"/>
              <w:bCs w:val="0"/>
              <w:spacing w:val="3"/>
              <w:sz w:val="31"/>
              <w:szCs w:val="31"/>
              <w:lang w:val="en-US" w:eastAsia="zh-CN"/>
            </w:rPr>
            <w:t>第三部分 湖北省消防救援总队</w:t>
          </w:r>
          <w:r>
            <w:rPr>
              <w:rFonts w:hint="eastAsia" w:ascii="Times New Roman" w:hAnsi="Times New Roman" w:eastAsia="微软雅黑" w:cs="Times New Roman"/>
              <w:b w:val="0"/>
              <w:bCs w:val="0"/>
              <w:spacing w:val="3"/>
              <w:sz w:val="31"/>
              <w:szCs w:val="31"/>
              <w:lang w:val="en-US" w:eastAsia="zh-CN"/>
            </w:rPr>
            <w:t>本级</w:t>
          </w:r>
          <w:r>
            <w:rPr>
              <w:rFonts w:hint="default" w:ascii="Times New Roman" w:hAnsi="Times New Roman" w:eastAsia="微软雅黑" w:cs="Times New Roman"/>
              <w:b w:val="0"/>
              <w:bCs w:val="0"/>
              <w:spacing w:val="3"/>
              <w:sz w:val="31"/>
              <w:szCs w:val="31"/>
              <w:lang w:val="en-US" w:eastAsia="zh-CN"/>
            </w:rPr>
            <w:t>2024年部门预算情况说明</w:t>
          </w:r>
          <w:r>
            <w:rPr>
              <w:rFonts w:hint="default" w:ascii="Times New Roman" w:hAnsi="Times New Roman" w:eastAsia="黑体" w:cs="Times New Roman"/>
              <w:b w:val="0"/>
              <w:bCs w:val="0"/>
              <w:position w:val="1"/>
              <w:sz w:val="31"/>
              <w:szCs w:val="31"/>
            </w:rPr>
            <w:tab/>
          </w:r>
          <w:r>
            <w:rPr>
              <w:rFonts w:hint="default" w:ascii="Times New Roman" w:hAnsi="Times New Roman" w:eastAsia="黑体" w:cs="Times New Roman"/>
              <w:b w:val="0"/>
              <w:bCs w:val="0"/>
              <w:position w:val="1"/>
              <w:sz w:val="31"/>
              <w:szCs w:val="31"/>
              <w:lang w:val="en-US" w:eastAsia="zh-CN"/>
            </w:rPr>
            <w:t>1</w:t>
          </w:r>
          <w:r>
            <w:rPr>
              <w:rFonts w:hint="eastAsia" w:ascii="Times New Roman" w:hAnsi="Times New Roman" w:eastAsia="黑体" w:cs="Times New Roman"/>
              <w:b w:val="0"/>
              <w:bCs w:val="0"/>
              <w:position w:val="1"/>
              <w:sz w:val="31"/>
              <w:szCs w:val="31"/>
              <w:lang w:val="en-US" w:eastAsia="zh-CN"/>
            </w:rPr>
            <w:t>6</w:t>
          </w:r>
        </w:p>
        <w:p>
          <w:pPr>
            <w:tabs>
              <w:tab w:val="right" w:leader="dot" w:pos="8645"/>
            </w:tabs>
            <w:spacing w:before="137" w:line="415" w:lineRule="exact"/>
            <w:ind w:left="457"/>
            <w:jc w:val="center"/>
            <w:rPr>
              <w:rFonts w:hint="default" w:ascii="Times New Roman" w:hAnsi="Times New Roman" w:eastAsia="黑体" w:cs="Times New Roman"/>
              <w:b w:val="0"/>
              <w:bCs w:val="0"/>
              <w:position w:val="1"/>
              <w:sz w:val="31"/>
              <w:szCs w:val="31"/>
              <w:lang w:val="en-US" w:eastAsia="zh-CN"/>
            </w:rPr>
          </w:pPr>
          <w:r>
            <w:rPr>
              <w:rFonts w:hint="default" w:ascii="Times New Roman" w:hAnsi="Times New Roman" w:eastAsia="微软雅黑" w:cs="Times New Roman"/>
              <w:b w:val="0"/>
              <w:bCs w:val="0"/>
              <w:spacing w:val="3"/>
              <w:sz w:val="31"/>
              <w:szCs w:val="31"/>
              <w:lang w:val="en-US" w:eastAsia="zh-CN"/>
            </w:rPr>
            <w:t>第四部分 名词解释</w:t>
          </w:r>
          <w:r>
            <w:rPr>
              <w:rFonts w:hint="default" w:ascii="Times New Roman" w:hAnsi="Times New Roman" w:eastAsia="黑体" w:cs="Times New Roman"/>
              <w:b w:val="0"/>
              <w:bCs w:val="0"/>
              <w:spacing w:val="-134"/>
              <w:position w:val="1"/>
              <w:sz w:val="31"/>
              <w:szCs w:val="31"/>
            </w:rPr>
            <w:t xml:space="preserve"> </w:t>
          </w:r>
          <w:r>
            <w:rPr>
              <w:rFonts w:hint="default" w:ascii="Times New Roman" w:hAnsi="Times New Roman" w:eastAsia="黑体" w:cs="Times New Roman"/>
              <w:b w:val="0"/>
              <w:bCs w:val="0"/>
              <w:position w:val="1"/>
              <w:sz w:val="31"/>
              <w:szCs w:val="31"/>
            </w:rPr>
            <w:tab/>
          </w:r>
          <w:r>
            <w:rPr>
              <w:rFonts w:hint="default" w:ascii="Times New Roman" w:hAnsi="Times New Roman" w:eastAsia="黑体" w:cs="Times New Roman"/>
              <w:b w:val="0"/>
              <w:bCs w:val="0"/>
              <w:position w:val="1"/>
              <w:sz w:val="31"/>
              <w:szCs w:val="31"/>
              <w:lang w:val="en-US" w:eastAsia="zh-CN"/>
            </w:rPr>
            <w:t xml:space="preserve"> 2</w:t>
          </w:r>
          <w:r>
            <w:rPr>
              <w:rFonts w:hint="eastAsia" w:ascii="Times New Roman" w:hAnsi="Times New Roman" w:eastAsia="黑体" w:cs="Times New Roman"/>
              <w:b w:val="0"/>
              <w:bCs w:val="0"/>
              <w:position w:val="1"/>
              <w:sz w:val="31"/>
              <w:szCs w:val="31"/>
              <w:lang w:val="en-US" w:eastAsia="zh-CN"/>
            </w:rPr>
            <w:t>3</w:t>
          </w:r>
        </w:p>
        <w:p>
          <w:pPr>
            <w:tabs>
              <w:tab w:val="right" w:leader="dot" w:pos="8645"/>
            </w:tabs>
            <w:spacing w:before="137" w:line="415" w:lineRule="exact"/>
            <w:ind w:left="457"/>
            <w:jc w:val="center"/>
            <w:rPr>
              <w:rFonts w:hint="default" w:ascii="Times New Roman" w:hAnsi="Times New Roman" w:eastAsia="黑体" w:cs="Times New Roman"/>
              <w:position w:val="1"/>
              <w:sz w:val="31"/>
              <w:szCs w:val="31"/>
              <w:lang w:val="en-US" w:eastAsia="zh-CN"/>
            </w:rPr>
          </w:pPr>
          <w:r>
            <w:rPr>
              <w:rFonts w:hint="default" w:ascii="Times New Roman" w:hAnsi="Times New Roman" w:eastAsia="微软雅黑" w:cs="Times New Roman"/>
              <w:b w:val="0"/>
              <w:bCs w:val="0"/>
              <w:spacing w:val="3"/>
              <w:sz w:val="31"/>
              <w:szCs w:val="31"/>
              <w:lang w:val="en-US" w:eastAsia="zh-CN"/>
            </w:rPr>
            <w:t>第五部分 附件</w:t>
          </w:r>
          <w:r>
            <w:rPr>
              <w:rFonts w:hint="default" w:ascii="Times New Roman" w:hAnsi="Times New Roman" w:eastAsia="黑体" w:cs="Times New Roman"/>
              <w:b w:val="0"/>
              <w:bCs w:val="0"/>
              <w:position w:val="1"/>
              <w:sz w:val="31"/>
              <w:szCs w:val="31"/>
              <w:lang w:val="en-US" w:eastAsia="zh-CN"/>
            </w:rPr>
            <w:t xml:space="preserve"> </w:t>
          </w:r>
          <w:r>
            <w:rPr>
              <w:rFonts w:hint="default" w:ascii="Times New Roman" w:hAnsi="Times New Roman" w:eastAsia="黑体" w:cs="Times New Roman"/>
              <w:position w:val="1"/>
              <w:sz w:val="31"/>
              <w:szCs w:val="31"/>
              <w:lang w:val="en-US" w:eastAsia="zh-CN"/>
            </w:rPr>
            <w:tab/>
          </w:r>
          <w:r>
            <w:rPr>
              <w:rFonts w:hint="default" w:ascii="Times New Roman" w:hAnsi="Times New Roman" w:eastAsia="黑体" w:cs="Times New Roman"/>
              <w:position w:val="1"/>
              <w:sz w:val="31"/>
              <w:szCs w:val="31"/>
              <w:lang w:val="en-US" w:eastAsia="zh-CN"/>
            </w:rPr>
            <w:t xml:space="preserve"> </w:t>
          </w:r>
          <w:r>
            <w:rPr>
              <w:rFonts w:hint="eastAsia" w:ascii="Times New Roman" w:hAnsi="Times New Roman" w:eastAsia="黑体" w:cs="Times New Roman"/>
              <w:position w:val="1"/>
              <w:sz w:val="31"/>
              <w:szCs w:val="31"/>
              <w:lang w:val="en-US" w:eastAsia="zh-CN"/>
            </w:rPr>
            <w:t>27</w:t>
          </w:r>
        </w:p>
      </w:sdtContent>
    </w:sdt>
    <w:p>
      <w:pPr>
        <w:spacing w:line="416" w:lineRule="exact"/>
        <w:jc w:val="center"/>
        <w:rPr>
          <w:rFonts w:hint="default" w:ascii="Times New Roman" w:hAnsi="Times New Roman" w:eastAsia="Times New Roman" w:cs="Times New Roman"/>
          <w:sz w:val="31"/>
          <w:szCs w:val="31"/>
        </w:rPr>
        <w:sectPr>
          <w:footerReference r:id="rId6" w:type="default"/>
          <w:pgSz w:w="11906" w:h="16839"/>
          <w:pgMar w:top="2098" w:right="1531" w:bottom="1984" w:left="1531" w:header="0" w:footer="0" w:gutter="0"/>
          <w:pgNumType w:fmt="decimal" w:start="1"/>
          <w:cols w:space="720" w:num="1"/>
        </w:sect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2" w:lineRule="auto"/>
      </w:pPr>
    </w:p>
    <w:p>
      <w:pPr>
        <w:pStyle w:val="3"/>
        <w:spacing w:line="252" w:lineRule="auto"/>
      </w:pPr>
    </w:p>
    <w:p>
      <w:pPr>
        <w:spacing w:line="3584" w:lineRule="exact"/>
      </w:pPr>
      <w:r>
        <w:rPr>
          <w:position w:val="-71"/>
        </w:rPr>
        <mc:AlternateContent>
          <mc:Choice Requires="wps">
            <w:drawing>
              <wp:anchor distT="0" distB="0" distL="114300" distR="114300" simplePos="0" relativeHeight="251660288" behindDoc="1" locked="0" layoutInCell="1" allowOverlap="1">
                <wp:simplePos x="0" y="0"/>
                <wp:positionH relativeFrom="column">
                  <wp:posOffset>-1113790</wp:posOffset>
                </wp:positionH>
                <wp:positionV relativeFrom="page">
                  <wp:posOffset>4548505</wp:posOffset>
                </wp:positionV>
                <wp:extent cx="7581900" cy="2339340"/>
                <wp:effectExtent l="0" t="0" r="7620" b="0"/>
                <wp:wrapThrough wrapText="bothSides">
                  <wp:wrapPolygon>
                    <wp:start x="0" y="0"/>
                    <wp:lineTo x="0" y="21530"/>
                    <wp:lineTo x="21578" y="21530"/>
                    <wp:lineTo x="21578" y="0"/>
                    <wp:lineTo x="0" y="0"/>
                  </wp:wrapPolygon>
                </wp:wrapThrough>
                <wp:docPr id="1" name="文本框 11"/>
                <wp:cNvGraphicFramePr/>
                <a:graphic xmlns:a="http://schemas.openxmlformats.org/drawingml/2006/main">
                  <a:graphicData uri="http://schemas.microsoft.com/office/word/2010/wordprocessingShape">
                    <wps:wsp>
                      <wps:cNvSpPr txBox="1"/>
                      <wps:spPr>
                        <a:xfrm>
                          <a:off x="0" y="0"/>
                          <a:ext cx="7581900" cy="2339340"/>
                        </a:xfrm>
                        <a:prstGeom prst="rect">
                          <a:avLst/>
                        </a:prstGeom>
                        <a:solidFill>
                          <a:srgbClr val="92D050">
                            <a:alpha val="87451"/>
                          </a:srgbClr>
                        </a:solidFill>
                        <a:ln>
                          <a:noFill/>
                        </a:ln>
                      </wps:spPr>
                      <wps:txbx>
                        <w:txbxContent>
                          <w:p>
                            <w:pPr>
                              <w:keepNext w:val="0"/>
                              <w:keepLines w:val="0"/>
                              <w:pageBreakBefore w:val="0"/>
                              <w:widowControl/>
                              <w:kinsoku w:val="0"/>
                              <w:wordWrap/>
                              <w:overflowPunct/>
                              <w:topLinePunct w:val="0"/>
                              <w:bidi w:val="0"/>
                              <w:adjustRightInd w:val="0"/>
                              <w:snapToGrid w:val="0"/>
                              <w:spacing w:before="266" w:line="240" w:lineRule="auto"/>
                              <w:ind w:firstLine="1032" w:firstLineChars="200"/>
                              <w:jc w:val="left"/>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第一部分</w:t>
                            </w:r>
                          </w:p>
                          <w:p>
                            <w:pPr>
                              <w:keepNext w:val="0"/>
                              <w:keepLines w:val="0"/>
                              <w:pageBreakBefore w:val="0"/>
                              <w:widowControl/>
                              <w:kinsoku w:val="0"/>
                              <w:wordWrap/>
                              <w:overflowPunct/>
                              <w:topLinePunct w:val="0"/>
                              <w:bidi w:val="0"/>
                              <w:adjustRightInd w:val="0"/>
                              <w:snapToGrid w:val="0"/>
                              <w:spacing w:before="461" w:line="240" w:lineRule="auto"/>
                              <w:jc w:val="center"/>
                              <w:textAlignment w:val="baseline"/>
                              <w:rPr>
                                <w:rFonts w:ascii="微软雅黑" w:hAnsi="微软雅黑" w:eastAsia="微软雅黑" w:cs="微软雅黑"/>
                                <w:sz w:val="71"/>
                                <w:szCs w:val="71"/>
                              </w:rPr>
                            </w:pPr>
                            <w:bookmarkStart w:id="9" w:name="bookmark3"/>
                            <w:bookmarkEnd w:id="9"/>
                            <w:r>
                              <w:rPr>
                                <w:rFonts w:hint="eastAsia" w:ascii="微软雅黑" w:hAnsi="微软雅黑" w:eastAsia="微软雅黑" w:cs="微软雅黑"/>
                                <w:spacing w:val="4"/>
                                <w:sz w:val="71"/>
                                <w:szCs w:val="71"/>
                                <w:lang w:val="en-US" w:eastAsia="zh-CN"/>
                              </w:rPr>
                              <w:t>湖北省消防救援总队本级</w:t>
                            </w:r>
                            <w:r>
                              <w:rPr>
                                <w:rFonts w:ascii="微软雅黑" w:hAnsi="微软雅黑" w:eastAsia="微软雅黑" w:cs="微软雅黑"/>
                                <w:spacing w:val="4"/>
                                <w:sz w:val="71"/>
                                <w:szCs w:val="71"/>
                              </w:rPr>
                              <w:t>概况</w:t>
                            </w:r>
                          </w:p>
                        </w:txbxContent>
                      </wps:txbx>
                      <wps:bodyPr lIns="0" tIns="0" rIns="0" bIns="0" upright="0"/>
                    </wps:wsp>
                  </a:graphicData>
                </a:graphic>
              </wp:anchor>
            </w:drawing>
          </mc:Choice>
          <mc:Fallback>
            <w:pict>
              <v:shape id="文本框 11" o:spid="_x0000_s1026" o:spt="202" type="#_x0000_t202" style="position:absolute;left:0pt;margin-left:-87.7pt;margin-top:358.15pt;height:184.2pt;width:597pt;mso-position-vertical-relative:page;mso-wrap-distance-left:9pt;mso-wrap-distance-right:9pt;z-index:-251656192;mso-width-relative:page;mso-height-relative:page;" fillcolor="#92D050" filled="t" stroked="f" coordsize="21600,21600" wrapcoords="0 0 0 21530 21578 21530 21578 0 0 0" o:gfxdata="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APzD3c&#10;AAAADgEAAA8AAAAAAAAAAQAgAAAAIgAAAGRycy9kb3ducmV2LnhtbFBLAQIUABQAAAAIAIdO4kC+&#10;Gp8A4wEAAL4DAAAOAAAAAAAAAAEAIAAAACsBAABkcnMvZTJvRG9jLnhtbFBLBQYAAAAABgAGAFkB&#10;AACABQAAAAA=&#10;">
                <v:fill on="t" opacity="57311f" focussize="0,0"/>
                <v:stroke on="f"/>
                <v:imagedata o:title=""/>
                <o:lock v:ext="edit" aspectratio="f"/>
                <v:textbox inset="0mm,0mm,0mm,0mm">
                  <w:txbxContent>
                    <w:p>
                      <w:pPr>
                        <w:keepNext w:val="0"/>
                        <w:keepLines w:val="0"/>
                        <w:pageBreakBefore w:val="0"/>
                        <w:widowControl/>
                        <w:kinsoku w:val="0"/>
                        <w:wordWrap/>
                        <w:overflowPunct/>
                        <w:topLinePunct w:val="0"/>
                        <w:bidi w:val="0"/>
                        <w:adjustRightInd w:val="0"/>
                        <w:snapToGrid w:val="0"/>
                        <w:spacing w:before="266" w:line="240" w:lineRule="auto"/>
                        <w:ind w:firstLine="1032" w:firstLineChars="200"/>
                        <w:jc w:val="left"/>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第一部分</w:t>
                      </w:r>
                    </w:p>
                    <w:p>
                      <w:pPr>
                        <w:keepNext w:val="0"/>
                        <w:keepLines w:val="0"/>
                        <w:pageBreakBefore w:val="0"/>
                        <w:widowControl/>
                        <w:kinsoku w:val="0"/>
                        <w:wordWrap/>
                        <w:overflowPunct/>
                        <w:topLinePunct w:val="0"/>
                        <w:bidi w:val="0"/>
                        <w:adjustRightInd w:val="0"/>
                        <w:snapToGrid w:val="0"/>
                        <w:spacing w:before="461" w:line="240" w:lineRule="auto"/>
                        <w:jc w:val="center"/>
                        <w:textAlignment w:val="baseline"/>
                        <w:rPr>
                          <w:rFonts w:ascii="微软雅黑" w:hAnsi="微软雅黑" w:eastAsia="微软雅黑" w:cs="微软雅黑"/>
                          <w:sz w:val="71"/>
                          <w:szCs w:val="71"/>
                        </w:rPr>
                      </w:pPr>
                      <w:bookmarkStart w:id="9" w:name="bookmark3"/>
                      <w:bookmarkEnd w:id="9"/>
                      <w:r>
                        <w:rPr>
                          <w:rFonts w:hint="eastAsia" w:ascii="微软雅黑" w:hAnsi="微软雅黑" w:eastAsia="微软雅黑" w:cs="微软雅黑"/>
                          <w:spacing w:val="4"/>
                          <w:sz w:val="71"/>
                          <w:szCs w:val="71"/>
                          <w:lang w:val="en-US" w:eastAsia="zh-CN"/>
                        </w:rPr>
                        <w:t>湖北省消防救援总队本级</w:t>
                      </w:r>
                      <w:r>
                        <w:rPr>
                          <w:rFonts w:ascii="微软雅黑" w:hAnsi="微软雅黑" w:eastAsia="微软雅黑" w:cs="微软雅黑"/>
                          <w:spacing w:val="4"/>
                          <w:sz w:val="71"/>
                          <w:szCs w:val="71"/>
                        </w:rPr>
                        <w:t>概况</w:t>
                      </w:r>
                    </w:p>
                  </w:txbxContent>
                </v:textbox>
                <w10:wrap type="through"/>
              </v:shape>
            </w:pict>
          </mc:Fallback>
        </mc:AlternateContent>
      </w:r>
    </w:p>
    <w:p>
      <w:pPr>
        <w:spacing w:line="3584" w:lineRule="exact"/>
        <w:sectPr>
          <w:footerReference r:id="rId7" w:type="default"/>
          <w:pgSz w:w="11906" w:h="16839"/>
          <w:pgMar w:top="2098" w:right="1531" w:bottom="1984" w:left="1531" w:header="0" w:footer="918" w:gutter="0"/>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72" w:line="240" w:lineRule="auto"/>
        <w:textAlignment w:val="baseline"/>
        <w:rPr>
          <w:rFonts w:hint="default" w:ascii="Times New Roman" w:hAnsi="Times New Roman" w:eastAsia="微软雅黑" w:cs="Times New Roman"/>
          <w:sz w:val="40"/>
          <w:szCs w:val="40"/>
        </w:rPr>
      </w:pPr>
      <w:r>
        <w:rPr>
          <w:rFonts w:hint="default" w:ascii="Times New Roman" w:hAnsi="Times New Roman" w:eastAsia="微软雅黑" w:cs="Times New Roman"/>
          <w:spacing w:val="-2"/>
          <w:sz w:val="40"/>
          <w:szCs w:val="40"/>
          <w:lang w:val="en-US" w:eastAsia="zh-CN"/>
        </w:rPr>
        <w:t>湖北省消防救援总队</w:t>
      </w:r>
      <w:r>
        <w:rPr>
          <w:rFonts w:hint="eastAsia" w:ascii="Times New Roman" w:hAnsi="Times New Roman" w:eastAsia="微软雅黑" w:cs="Times New Roman"/>
          <w:spacing w:val="-2"/>
          <w:sz w:val="40"/>
          <w:szCs w:val="40"/>
          <w:lang w:val="en-US" w:eastAsia="zh-CN"/>
        </w:rPr>
        <w:t>本级</w:t>
      </w:r>
      <w:r>
        <w:rPr>
          <w:rFonts w:hint="default" w:ascii="Times New Roman" w:hAnsi="Times New Roman" w:eastAsia="Times New Roman" w:cs="Times New Roman"/>
          <w:spacing w:val="-2"/>
          <w:sz w:val="40"/>
          <w:szCs w:val="40"/>
        </w:rPr>
        <w:t>2024</w:t>
      </w:r>
      <w:r>
        <w:rPr>
          <w:rFonts w:hint="default" w:ascii="Times New Roman" w:hAnsi="Times New Roman" w:eastAsia="微软雅黑" w:cs="Times New Roman"/>
          <w:spacing w:val="-2"/>
          <w:sz w:val="40"/>
          <w:szCs w:val="40"/>
        </w:rPr>
        <w:t xml:space="preserve">年部门预算 </w:t>
      </w:r>
      <w:r>
        <w:rPr>
          <w:rFonts w:hint="default" w:ascii="Times New Roman" w:hAnsi="Times New Roman" w:cs="Times New Roman"/>
          <w:sz w:val="40"/>
          <w:szCs w:val="40"/>
        </w:rPr>
        <w:drawing>
          <wp:inline distT="0" distB="0" distL="0" distR="0">
            <wp:extent cx="187960" cy="1993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4"/>
                    <a:stretch>
                      <a:fillRect/>
                    </a:stretch>
                  </pic:blipFill>
                  <pic:spPr>
                    <a:xfrm>
                      <a:off x="0" y="0"/>
                      <a:ext cx="188467" cy="199390"/>
                    </a:xfrm>
                    <a:prstGeom prst="rect">
                      <a:avLst/>
                    </a:prstGeom>
                  </pic:spPr>
                </pic:pic>
              </a:graphicData>
            </a:graphic>
          </wp:inline>
        </w:drawing>
      </w:r>
      <w:r>
        <w:rPr>
          <w:rFonts w:hint="default" w:ascii="Times New Roman" w:hAnsi="Times New Roman" w:eastAsia="微软雅黑" w:cs="Times New Roman"/>
          <w:spacing w:val="62"/>
          <w:sz w:val="40"/>
          <w:szCs w:val="40"/>
        </w:rPr>
        <w:t xml:space="preserve"> </w:t>
      </w:r>
      <w:r>
        <w:rPr>
          <w:rFonts w:hint="default" w:ascii="Times New Roman" w:hAnsi="Times New Roman" w:eastAsia="微软雅黑" w:cs="Times New Roman"/>
          <w:spacing w:val="-2"/>
          <w:sz w:val="40"/>
          <w:szCs w:val="40"/>
        </w:rPr>
        <w:t>部门概况</w:t>
      </w:r>
    </w:p>
    <w:p>
      <w:pPr>
        <w:pStyle w:val="3"/>
        <w:keepNext w:val="0"/>
        <w:keepLines w:val="0"/>
        <w:pageBreakBefore w:val="0"/>
        <w:widowControl/>
        <w:kinsoku w:val="0"/>
        <w:wordWrap/>
        <w:overflowPunct/>
        <w:topLinePunct w:val="0"/>
        <w:autoSpaceDE w:val="0"/>
        <w:autoSpaceDN w:val="0"/>
        <w:bidi w:val="0"/>
        <w:adjustRightInd w:val="0"/>
        <w:snapToGrid w:val="0"/>
        <w:spacing w:line="347" w:lineRule="auto"/>
        <w:ind w:firstLine="420" w:firstLineChars="200"/>
        <w:textAlignment w:val="baseline"/>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r>
        <w:rPr>
          <w:rFonts w:hint="default" w:ascii="Times New Roman" w:hAnsi="Times New Roman" w:eastAsia="黑体" w:cs="Times New Roman"/>
          <w:spacing w:val="6"/>
          <w:position w:val="1"/>
          <w:sz w:val="31"/>
          <w:szCs w:val="31"/>
        </w:rPr>
        <w:t>一、部门职责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1.</w:t>
      </w:r>
      <w:r>
        <w:rPr>
          <w:rFonts w:hint="default" w:ascii="Times New Roman" w:hAnsi="Times New Roman" w:eastAsia="仿宋_GB2312" w:cs="Times New Roman"/>
          <w:spacing w:val="3"/>
          <w:sz w:val="31"/>
          <w:szCs w:val="31"/>
        </w:rPr>
        <w:t>承担城乡综合性消防救援工作，负责指挥调度相关灾害事救援行动，重要会议</w:t>
      </w:r>
      <w:r>
        <w:rPr>
          <w:rFonts w:hint="default" w:ascii="Times New Roman" w:hAnsi="Times New Roman" w:eastAsia="仿宋_GB2312" w:cs="Times New Roman"/>
          <w:spacing w:val="3"/>
          <w:sz w:val="31"/>
          <w:szCs w:val="31"/>
          <w:lang w:eastAsia="zh-CN"/>
        </w:rPr>
        <w:t>、</w:t>
      </w:r>
      <w:r>
        <w:rPr>
          <w:rFonts w:hint="default" w:ascii="Times New Roman" w:hAnsi="Times New Roman" w:eastAsia="仿宋_GB2312" w:cs="Times New Roman"/>
          <w:spacing w:val="3"/>
          <w:sz w:val="31"/>
          <w:szCs w:val="31"/>
        </w:rPr>
        <w:t>大型活动消防安全保卫工作。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2.</w:t>
      </w:r>
      <w:r>
        <w:rPr>
          <w:rFonts w:hint="default" w:ascii="Times New Roman" w:hAnsi="Times New Roman" w:eastAsia="仿宋_GB2312" w:cs="Times New Roman"/>
          <w:spacing w:val="3"/>
          <w:sz w:val="31"/>
          <w:szCs w:val="31"/>
        </w:rPr>
        <w:t>承担火灾预防、消防监督执法以及火灾事故调查处理相关工作，依法行使消防安全综合监管职能，推动落实消防安全责任制。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3.</w:t>
      </w:r>
      <w:r>
        <w:rPr>
          <w:rFonts w:hint="default" w:ascii="Times New Roman" w:hAnsi="Times New Roman" w:eastAsia="仿宋_GB2312" w:cs="Times New Roman"/>
          <w:spacing w:val="3"/>
          <w:sz w:val="31"/>
          <w:szCs w:val="31"/>
        </w:rPr>
        <w:t>参与拟订消防专项规划，参与起草地方性消防法规、规章草案并监督实施。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4.</w:t>
      </w:r>
      <w:r>
        <w:rPr>
          <w:rFonts w:hint="default" w:ascii="Times New Roman" w:hAnsi="Times New Roman" w:eastAsia="仿宋_GB2312" w:cs="Times New Roman"/>
          <w:spacing w:val="3"/>
          <w:sz w:val="31"/>
          <w:szCs w:val="31"/>
        </w:rPr>
        <w:t>负责消防救援队伍综合性消防救援预案编制、战术研究和执勤备战、训练演练等工作。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5.</w:t>
      </w:r>
      <w:r>
        <w:rPr>
          <w:rFonts w:hint="default" w:ascii="Times New Roman" w:hAnsi="Times New Roman" w:eastAsia="仿宋_GB2312" w:cs="Times New Roman"/>
          <w:spacing w:val="3"/>
          <w:sz w:val="31"/>
          <w:szCs w:val="31"/>
        </w:rPr>
        <w:t>负责消防救援信息化和应急通信建设，承担综合性消防救援行动应急通信保障工作。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96" w:firstLineChars="200"/>
        <w:textAlignment w:val="baseline"/>
        <w:rPr>
          <w:rFonts w:hint="eastAsia" w:ascii="Times New Roman" w:hAnsi="Times New Roman" w:eastAsia="仿宋_GB2312" w:cs="Times New Roman"/>
          <w:spacing w:val="-6"/>
          <w:sz w:val="31"/>
          <w:szCs w:val="31"/>
          <w:lang w:val="en-US" w:eastAsia="zh-CN"/>
        </w:rPr>
      </w:pPr>
      <w:r>
        <w:rPr>
          <w:rFonts w:hint="default" w:ascii="Times New Roman" w:hAnsi="Times New Roman" w:eastAsia="仿宋_GB2312" w:cs="Times New Roman"/>
          <w:spacing w:val="-6"/>
          <w:sz w:val="31"/>
          <w:szCs w:val="31"/>
          <w:lang w:val="en-US" w:eastAsia="zh-CN"/>
        </w:rPr>
        <w:t>6.</w:t>
      </w:r>
      <w:r>
        <w:rPr>
          <w:rFonts w:hint="default" w:ascii="Times New Roman" w:hAnsi="Times New Roman" w:eastAsia="仿宋_GB2312" w:cs="Times New Roman"/>
          <w:spacing w:val="-6"/>
          <w:sz w:val="31"/>
          <w:szCs w:val="31"/>
        </w:rPr>
        <w:t>负责消防安全宣传教育，组织指导社会消防力量建设</w:t>
      </w:r>
      <w:r>
        <w:rPr>
          <w:rFonts w:hint="eastAsia" w:ascii="Times New Roman" w:hAnsi="Times New Roman" w:eastAsia="仿宋_GB2312" w:cs="Times New Roman"/>
          <w:spacing w:val="-6"/>
          <w:sz w:val="31"/>
          <w:szCs w:val="31"/>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7.</w:t>
      </w:r>
      <w:r>
        <w:rPr>
          <w:rFonts w:hint="default" w:ascii="Times New Roman" w:hAnsi="Times New Roman" w:eastAsia="仿宋_GB2312" w:cs="Times New Roman"/>
          <w:spacing w:val="3"/>
          <w:sz w:val="31"/>
          <w:szCs w:val="31"/>
        </w:rPr>
        <w:t>负责消防应急救援专业队伍规划、建设与调度指挥，参与组织协调动员各类社会救援力量参加救援任务。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8.</w:t>
      </w:r>
      <w:r>
        <w:rPr>
          <w:rFonts w:hint="default" w:ascii="Times New Roman" w:hAnsi="Times New Roman" w:eastAsia="仿宋_GB2312" w:cs="Times New Roman"/>
          <w:spacing w:val="3"/>
          <w:sz w:val="31"/>
          <w:szCs w:val="31"/>
        </w:rPr>
        <w:t>负责消防救援队伍建设与管理。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ascii="黑体" w:hAnsi="黑体" w:eastAsia="黑体" w:cs="黑体"/>
          <w:spacing w:val="6"/>
          <w:position w:val="1"/>
          <w:sz w:val="31"/>
          <w:szCs w:val="31"/>
        </w:rPr>
      </w:pPr>
      <w:r>
        <w:rPr>
          <w:rFonts w:hint="default" w:ascii="Times New Roman" w:hAnsi="Times New Roman" w:eastAsia="仿宋_GB2312" w:cs="Times New Roman"/>
          <w:spacing w:val="3"/>
          <w:sz w:val="31"/>
          <w:szCs w:val="31"/>
          <w:lang w:val="en-US" w:eastAsia="zh-CN"/>
        </w:rPr>
        <w:t>9.</w:t>
      </w:r>
      <w:r>
        <w:rPr>
          <w:rFonts w:hint="default" w:ascii="Times New Roman" w:hAnsi="Times New Roman" w:eastAsia="仿宋_GB2312" w:cs="Times New Roman"/>
          <w:spacing w:val="3"/>
          <w:sz w:val="31"/>
          <w:szCs w:val="31"/>
        </w:rPr>
        <w:t>完成应急管理部和所在省（区、市）党委政府交办的相关任务</w:t>
      </w:r>
      <w:r>
        <w:rPr>
          <w:rFonts w:hint="default" w:ascii="Times New Roman" w:hAnsi="Times New Roman" w:eastAsia="仿宋_GB2312" w:cs="Times New Roman"/>
          <w:spacing w:val="3"/>
          <w:sz w:val="31"/>
          <w:szCs w:val="31"/>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r>
        <w:rPr>
          <w:rFonts w:hint="default" w:ascii="Times New Roman" w:hAnsi="Times New Roman" w:eastAsia="黑体" w:cs="Times New Roman"/>
          <w:spacing w:val="6"/>
          <w:position w:val="1"/>
          <w:sz w:val="31"/>
          <w:szCs w:val="31"/>
        </w:rPr>
        <w:t>二、机构设置</w:t>
      </w:r>
    </w:p>
    <w:p>
      <w:pPr>
        <w:keepNext w:val="0"/>
        <w:keepLines w:val="0"/>
        <w:pageBreakBefore w:val="0"/>
        <w:widowControl/>
        <w:kinsoku/>
        <w:wordWrap/>
        <w:overflowPunct/>
        <w:topLinePunct w:val="0"/>
        <w:autoSpaceDE/>
        <w:autoSpaceDN/>
        <w:bidi w:val="0"/>
        <w:adjustRightInd w:val="0"/>
        <w:snapToGrid w:val="0"/>
        <w:spacing w:before="101" w:line="560" w:lineRule="exact"/>
        <w:ind w:firstLine="608" w:firstLineChars="200"/>
        <w:textAlignment w:val="baseline"/>
        <w:rPr>
          <w:rFonts w:hint="default" w:ascii="Times New Roman" w:hAnsi="Times New Roman" w:eastAsia="仿宋_GB2312" w:cs="Times New Roman"/>
          <w:spacing w:val="-3"/>
          <w:sz w:val="31"/>
          <w:szCs w:val="31"/>
          <w:lang w:eastAsia="zh-CN"/>
        </w:rPr>
      </w:pPr>
      <w:r>
        <w:rPr>
          <w:rFonts w:hint="default" w:ascii="Times New Roman" w:hAnsi="Times New Roman" w:eastAsia="仿宋_GB2312" w:cs="Times New Roman"/>
          <w:spacing w:val="-3"/>
          <w:sz w:val="31"/>
          <w:szCs w:val="31"/>
          <w:lang w:eastAsia="zh-CN"/>
        </w:rPr>
        <w:t>湖北省消防救援总队本级内设办公室、指挥中心、战训处、信通处、组教处、人事处、队务处、纪检室、审计室、防火处、法工处、火调处、宣传处、后勤装备处、财务处，另设勤务大队、机关党委共17个处室。另有门诊部一个、仓库一个。</w:t>
      </w: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firstLine="608" w:firstLineChars="200"/>
        <w:textAlignment w:val="baseline"/>
        <w:rPr>
          <w:rFonts w:hint="default" w:ascii="Times New Roman" w:hAnsi="Times New Roman" w:eastAsia="仿宋_GB2312" w:cs="Times New Roman"/>
          <w:spacing w:val="-3"/>
          <w:sz w:val="31"/>
          <w:szCs w:val="31"/>
          <w:lang w:eastAsia="zh-CN"/>
        </w:r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r>
        <w:rPr>
          <w:sz w:val="21"/>
        </w:rPr>
        <mc:AlternateContent>
          <mc:Choice Requires="wps">
            <w:drawing>
              <wp:anchor distT="0" distB="0" distL="114300" distR="114300" simplePos="0" relativeHeight="251665408" behindDoc="0" locked="0" layoutInCell="1" allowOverlap="1">
                <wp:simplePos x="0" y="0"/>
                <wp:positionH relativeFrom="column">
                  <wp:posOffset>-1219835</wp:posOffset>
                </wp:positionH>
                <wp:positionV relativeFrom="paragraph">
                  <wp:posOffset>47625</wp:posOffset>
                </wp:positionV>
                <wp:extent cx="7730490" cy="2278380"/>
                <wp:effectExtent l="4445" t="4445" r="18415" b="22225"/>
                <wp:wrapNone/>
                <wp:docPr id="29" name="文本框 29"/>
                <wp:cNvGraphicFramePr/>
                <a:graphic xmlns:a="http://schemas.openxmlformats.org/drawingml/2006/main">
                  <a:graphicData uri="http://schemas.microsoft.com/office/word/2010/wordprocessingShape">
                    <wps:wsp>
                      <wps:cNvSpPr txBox="1"/>
                      <wps:spPr>
                        <a:xfrm>
                          <a:off x="274955" y="3579495"/>
                          <a:ext cx="7730490" cy="2278380"/>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before="250" w:line="181" w:lineRule="auto"/>
                              <w:ind w:left="1179"/>
                              <w:rPr>
                                <w:rFonts w:ascii="微软雅黑" w:hAnsi="微软雅黑" w:eastAsia="微软雅黑" w:cs="微软雅黑"/>
                                <w:spacing w:val="-2"/>
                                <w:sz w:val="52"/>
                                <w:szCs w:val="52"/>
                              </w:rPr>
                            </w:pPr>
                            <w:r>
                              <w:rPr>
                                <w:rFonts w:ascii="微软雅黑" w:hAnsi="微软雅黑" w:eastAsia="微软雅黑" w:cs="微软雅黑"/>
                                <w:spacing w:val="-2"/>
                                <w:sz w:val="52"/>
                                <w:szCs w:val="52"/>
                              </w:rPr>
                              <w:t>第二部分</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bookmarkStart w:id="10" w:name="bookmark6"/>
                            <w:bookmarkEnd w:id="10"/>
                            <w:r>
                              <w:rPr>
                                <w:rFonts w:hint="eastAsia" w:ascii="微软雅黑" w:hAnsi="微软雅黑" w:eastAsia="微软雅黑" w:cs="微软雅黑"/>
                                <w:spacing w:val="2"/>
                                <w:sz w:val="71"/>
                                <w:szCs w:val="71"/>
                                <w:lang w:val="en-US" w:eastAsia="zh-CN"/>
                              </w:rPr>
                              <w:t>湖北省消防救援总队本级</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r>
                              <w:rPr>
                                <w:rFonts w:hint="eastAsia" w:ascii="微软雅黑" w:hAnsi="微软雅黑" w:eastAsia="微软雅黑" w:cs="微软雅黑"/>
                                <w:spacing w:val="2"/>
                                <w:sz w:val="71"/>
                                <w:szCs w:val="71"/>
                                <w:lang w:val="en-US" w:eastAsia="zh-CN"/>
                              </w:rPr>
                              <w:t>2024年部门预算表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05pt;margin-top:3.75pt;height:179.4pt;width:608.7pt;z-index:251665408;mso-width-relative:page;mso-height-relative:page;" fillcolor="#92D050" filled="t" stroked="t" coordsize="21600,21600" o:gfxdata="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0qBs9oAAAALAQAADwAAAAAAAAABACAAAAAiAAAAZHJzL2Rvd25yZXYueG1s&#10;UEsBAhQAFAAAAAgAh07iQHeEFBZoAgAAxQQAAA4AAAAAAAAAAQAgAAAAKQEAAGRycy9lMm9Eb2Mu&#10;eG1sUEsFBgAAAAAGAAYAWQEAAAMGAAAAAA==&#10;">
                <v:fill on="t" focussize="0,0"/>
                <v:stroke weight="0.5pt" color="#000000 [3204]" joinstyle="round"/>
                <v:imagedata o:title=""/>
                <o:lock v:ext="edit" aspectratio="f"/>
                <v:textbox>
                  <w:txbxContent>
                    <w:p>
                      <w:pPr>
                        <w:spacing w:before="250" w:line="181" w:lineRule="auto"/>
                        <w:ind w:left="1179"/>
                        <w:rPr>
                          <w:rFonts w:ascii="微软雅黑" w:hAnsi="微软雅黑" w:eastAsia="微软雅黑" w:cs="微软雅黑"/>
                          <w:spacing w:val="-2"/>
                          <w:sz w:val="52"/>
                          <w:szCs w:val="52"/>
                        </w:rPr>
                      </w:pPr>
                      <w:r>
                        <w:rPr>
                          <w:rFonts w:ascii="微软雅黑" w:hAnsi="微软雅黑" w:eastAsia="微软雅黑" w:cs="微软雅黑"/>
                          <w:spacing w:val="-2"/>
                          <w:sz w:val="52"/>
                          <w:szCs w:val="52"/>
                        </w:rPr>
                        <w:t>第二部分</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bookmarkStart w:id="10" w:name="bookmark6"/>
                      <w:bookmarkEnd w:id="10"/>
                      <w:r>
                        <w:rPr>
                          <w:rFonts w:hint="eastAsia" w:ascii="微软雅黑" w:hAnsi="微软雅黑" w:eastAsia="微软雅黑" w:cs="微软雅黑"/>
                          <w:spacing w:val="2"/>
                          <w:sz w:val="71"/>
                          <w:szCs w:val="71"/>
                          <w:lang w:val="en-US" w:eastAsia="zh-CN"/>
                        </w:rPr>
                        <w:t>湖北省消防救援总队本级</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r>
                        <w:rPr>
                          <w:rFonts w:hint="eastAsia" w:ascii="微软雅黑" w:hAnsi="微软雅黑" w:eastAsia="微软雅黑" w:cs="微软雅黑"/>
                          <w:spacing w:val="2"/>
                          <w:sz w:val="71"/>
                          <w:szCs w:val="71"/>
                          <w:lang w:val="en-US" w:eastAsia="zh-CN"/>
                        </w:rPr>
                        <w:t>2024年部门预算表</w:t>
                      </w:r>
                    </w:p>
                  </w:txbxContent>
                </v:textbox>
              </v:shape>
            </w:pict>
          </mc:Fallback>
        </mc:AlternateContent>
      </w:r>
    </w:p>
    <w:p>
      <w:pPr>
        <w:pStyle w:val="3"/>
        <w:spacing w:line="251" w:lineRule="auto"/>
      </w:pPr>
    </w:p>
    <w:p>
      <w:pPr>
        <w:spacing w:line="3584" w:lineRule="exact"/>
        <w:sectPr>
          <w:footerReference r:id="rId8" w:type="default"/>
          <w:pgSz w:w="11907" w:h="16840"/>
          <w:pgMar w:top="1440" w:right="1800" w:bottom="1440" w:left="1800" w:header="0" w:footer="646" w:gutter="0"/>
          <w:pgNumType w:fmt="decimal"/>
          <w:cols w:space="720" w:num="1"/>
        </w:sectPr>
      </w:pPr>
    </w:p>
    <w:p>
      <w:pPr>
        <w:spacing w:before="157" w:line="220" w:lineRule="auto"/>
        <w:ind w:right="20"/>
        <w:jc w:val="left"/>
        <w:rPr>
          <w:rFonts w:ascii="微软雅黑" w:hAnsi="微软雅黑" w:eastAsia="微软雅黑" w:cs="微软雅黑"/>
          <w:spacing w:val="-3"/>
          <w:sz w:val="40"/>
          <w:szCs w:val="40"/>
        </w:rPr>
      </w:pPr>
      <w:bookmarkStart w:id="1" w:name="bookmark7"/>
      <w:bookmarkEnd w:id="1"/>
      <w:r>
        <w:rPr>
          <w:rFonts w:hint="eastAsia" w:ascii="微软雅黑" w:hAnsi="微软雅黑" w:eastAsia="微软雅黑" w:cs="微软雅黑"/>
          <w:spacing w:val="-3"/>
          <w:sz w:val="40"/>
          <w:szCs w:val="40"/>
          <w:lang w:val="en-US" w:eastAsia="zh-CN"/>
        </w:rPr>
        <w:t>湖北省消防救援总队本级</w:t>
      </w:r>
      <w:r>
        <w:rPr>
          <w:rFonts w:ascii="Times New Roman" w:hAnsi="Times New Roman" w:eastAsia="Times New Roman" w:cs="Times New Roman"/>
          <w:spacing w:val="-3"/>
          <w:sz w:val="40"/>
          <w:szCs w:val="40"/>
        </w:rPr>
        <w:t>2024</w:t>
      </w:r>
      <w:r>
        <w:rPr>
          <w:rFonts w:ascii="微软雅黑" w:hAnsi="微软雅黑" w:eastAsia="微软雅黑" w:cs="微软雅黑"/>
          <w:spacing w:val="-3"/>
          <w:sz w:val="40"/>
          <w:szCs w:val="40"/>
        </w:rPr>
        <w:t>年部门预算</w:t>
      </w:r>
      <w:r>
        <w:rPr>
          <w:rFonts w:ascii="微软雅黑" w:hAnsi="微软雅黑" w:eastAsia="微软雅黑" w:cs="微软雅黑"/>
          <w:spacing w:val="51"/>
          <w:sz w:val="40"/>
          <w:szCs w:val="40"/>
        </w:rPr>
        <w:t xml:space="preserve"> </w:t>
      </w:r>
      <w:r>
        <w:rPr>
          <w:position w:val="-4"/>
          <w:sz w:val="40"/>
          <w:szCs w:val="40"/>
        </w:rPr>
        <w:drawing>
          <wp:inline distT="0" distB="0" distL="0" distR="0">
            <wp:extent cx="187960" cy="1993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5"/>
                    <a:stretch>
                      <a:fillRect/>
                    </a:stretch>
                  </pic:blipFill>
                  <pic:spPr>
                    <a:xfrm>
                      <a:off x="0" y="0"/>
                      <a:ext cx="188467" cy="199390"/>
                    </a:xfrm>
                    <a:prstGeom prst="rect">
                      <a:avLst/>
                    </a:prstGeom>
                  </pic:spPr>
                </pic:pic>
              </a:graphicData>
            </a:graphic>
          </wp:inline>
        </w:drawing>
      </w:r>
      <w:r>
        <w:rPr>
          <w:rFonts w:ascii="微软雅黑" w:hAnsi="微软雅黑" w:eastAsia="微软雅黑" w:cs="微软雅黑"/>
          <w:spacing w:val="35"/>
          <w:sz w:val="40"/>
          <w:szCs w:val="40"/>
        </w:rPr>
        <w:t xml:space="preserve"> </w:t>
      </w:r>
      <w:r>
        <w:rPr>
          <w:rFonts w:ascii="微软雅黑" w:hAnsi="微软雅黑" w:eastAsia="微软雅黑" w:cs="微软雅黑"/>
          <w:spacing w:val="-3"/>
          <w:sz w:val="40"/>
          <w:szCs w:val="40"/>
        </w:rPr>
        <w:t>部门预算表</w:t>
      </w:r>
    </w:p>
    <w:p>
      <w:pPr>
        <w:spacing w:before="157" w:line="220" w:lineRule="auto"/>
        <w:ind w:right="20"/>
        <w:jc w:val="center"/>
        <w:rPr>
          <w:rFonts w:ascii="微软雅黑" w:hAnsi="微软雅黑" w:eastAsia="微软雅黑" w:cs="微软雅黑"/>
          <w:spacing w:val="8"/>
          <w:sz w:val="31"/>
          <w:szCs w:val="31"/>
        </w:rPr>
      </w:pPr>
    </w:p>
    <w:p>
      <w:pPr>
        <w:spacing w:before="157" w:line="220" w:lineRule="auto"/>
        <w:ind w:right="20"/>
        <w:jc w:val="center"/>
        <w:rPr>
          <w:rFonts w:ascii="微软雅黑" w:hAnsi="微软雅黑" w:eastAsia="微软雅黑" w:cs="微软雅黑"/>
          <w:sz w:val="31"/>
          <w:szCs w:val="31"/>
        </w:rPr>
      </w:pPr>
      <w:r>
        <w:rPr>
          <w:rFonts w:ascii="微软雅黑" w:hAnsi="微软雅黑" w:eastAsia="微软雅黑" w:cs="微软雅黑"/>
          <w:spacing w:val="8"/>
          <w:sz w:val="31"/>
          <w:szCs w:val="31"/>
        </w:rPr>
        <w:t>部门收支总表</w:t>
      </w:r>
    </w:p>
    <w:p>
      <w:pPr>
        <w:spacing w:before="157" w:line="220" w:lineRule="auto"/>
        <w:ind w:right="20"/>
        <w:jc w:val="center"/>
        <w:rPr>
          <w:rFonts w:ascii="Times New Roman" w:hAnsi="Times New Roman" w:eastAsia="Times New Roman" w:cs="Times New Roman"/>
          <w:spacing w:val="6"/>
          <w:sz w:val="19"/>
          <w:szCs w:val="19"/>
        </w:rPr>
      </w:pPr>
      <w:r>
        <w:rPr>
          <w:rFonts w:hint="eastAsia" w:ascii="宋体" w:hAnsi="宋体" w:eastAsia="宋体" w:cs="宋体"/>
          <w:spacing w:val="-2"/>
          <w:sz w:val="18"/>
          <w:szCs w:val="18"/>
          <w:lang w:val="en-US" w:eastAsia="zh-CN"/>
        </w:rPr>
        <w:t xml:space="preserve">                                                                                                                       </w:t>
      </w:r>
      <w:r>
        <w:rPr>
          <w:rFonts w:ascii="宋体" w:hAnsi="宋体" w:eastAsia="宋体" w:cs="宋体"/>
          <w:spacing w:val="6"/>
          <w:sz w:val="19"/>
          <w:szCs w:val="19"/>
        </w:rPr>
        <w:t>部门公开表</w:t>
      </w:r>
      <w:r>
        <w:rPr>
          <w:rFonts w:ascii="宋体" w:hAnsi="宋体" w:eastAsia="宋体" w:cs="宋体"/>
          <w:spacing w:val="-18"/>
          <w:sz w:val="19"/>
          <w:szCs w:val="19"/>
        </w:rPr>
        <w:t xml:space="preserve"> </w:t>
      </w:r>
      <w:r>
        <w:rPr>
          <w:rFonts w:ascii="Times New Roman" w:hAnsi="Times New Roman" w:eastAsia="Times New Roman" w:cs="Times New Roman"/>
          <w:spacing w:val="6"/>
          <w:sz w:val="19"/>
          <w:szCs w:val="19"/>
        </w:rPr>
        <w:t>1</w:t>
      </w:r>
    </w:p>
    <w:p>
      <w:pPr>
        <w:spacing w:before="157" w:line="220" w:lineRule="auto"/>
        <w:ind w:right="20"/>
        <w:jc w:val="center"/>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29" w:lineRule="exact"/>
      </w:pPr>
    </w:p>
    <w:tbl>
      <w:tblPr>
        <w:tblStyle w:val="8"/>
        <w:tblpPr w:leftFromText="180" w:rightFromText="180" w:vertAnchor="text" w:horzAnchor="page" w:tblpX="2073" w:tblpY="230"/>
        <w:tblOverlap w:val="never"/>
        <w:tblW w:w="1270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78"/>
        <w:gridCol w:w="3174"/>
        <w:gridCol w:w="3174"/>
        <w:gridCol w:w="31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6352" w:type="dxa"/>
            <w:gridSpan w:val="2"/>
            <w:vAlign w:val="top"/>
          </w:tcPr>
          <w:p>
            <w:pPr>
              <w:spacing w:before="175" w:line="228" w:lineRule="auto"/>
              <w:ind w:left="2688"/>
              <w:rPr>
                <w:rFonts w:ascii="宋体" w:hAnsi="宋体" w:eastAsia="宋体" w:cs="宋体"/>
                <w:sz w:val="19"/>
                <w:szCs w:val="19"/>
              </w:rPr>
            </w:pPr>
            <w:r>
              <w:rPr>
                <w:rFonts w:ascii="宋体" w:hAnsi="宋体" w:eastAsia="宋体" w:cs="宋体"/>
                <w:spacing w:val="-2"/>
                <w:sz w:val="19"/>
                <w:szCs w:val="19"/>
                <w14:textOutline w14:w="3614" w14:cap="sq" w14:cmpd="sng">
                  <w14:solidFill>
                    <w14:srgbClr w14:val="000000"/>
                  </w14:solidFill>
                  <w14:prstDash w14:val="solid"/>
                  <w14:bevel/>
                </w14:textOutline>
              </w:rPr>
              <w:t>收</w:t>
            </w:r>
            <w:r>
              <w:rPr>
                <w:rFonts w:ascii="宋体" w:hAnsi="宋体" w:eastAsia="宋体" w:cs="宋体"/>
                <w:spacing w:val="6"/>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入</w:t>
            </w:r>
          </w:p>
        </w:tc>
        <w:tc>
          <w:tcPr>
            <w:tcW w:w="6350" w:type="dxa"/>
            <w:gridSpan w:val="2"/>
            <w:vAlign w:val="top"/>
          </w:tcPr>
          <w:p>
            <w:pPr>
              <w:spacing w:before="175" w:line="229" w:lineRule="auto"/>
              <w:ind w:left="2731"/>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支</w:t>
            </w:r>
            <w:r>
              <w:rPr>
                <w:rFonts w:ascii="宋体" w:hAnsi="宋体" w:eastAsia="宋体" w:cs="宋体"/>
                <w:spacing w:val="9"/>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3178" w:type="dxa"/>
            <w:vAlign w:val="top"/>
          </w:tcPr>
          <w:p>
            <w:pPr>
              <w:spacing w:before="171" w:line="229" w:lineRule="auto"/>
              <w:ind w:left="1398"/>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项目</w:t>
            </w:r>
          </w:p>
        </w:tc>
        <w:tc>
          <w:tcPr>
            <w:tcW w:w="3174" w:type="dxa"/>
            <w:vAlign w:val="top"/>
          </w:tcPr>
          <w:p>
            <w:pPr>
              <w:spacing w:before="172" w:line="228" w:lineRule="auto"/>
              <w:ind w:left="1293"/>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预算数</w:t>
            </w:r>
          </w:p>
        </w:tc>
        <w:tc>
          <w:tcPr>
            <w:tcW w:w="3174" w:type="dxa"/>
            <w:vAlign w:val="top"/>
          </w:tcPr>
          <w:p>
            <w:pPr>
              <w:spacing w:before="171" w:line="229" w:lineRule="auto"/>
              <w:ind w:left="1394"/>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项目</w:t>
            </w:r>
          </w:p>
        </w:tc>
        <w:tc>
          <w:tcPr>
            <w:tcW w:w="3176" w:type="dxa"/>
            <w:vAlign w:val="top"/>
          </w:tcPr>
          <w:p>
            <w:pPr>
              <w:spacing w:before="172" w:line="228" w:lineRule="auto"/>
              <w:ind w:left="1293"/>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178" w:type="dxa"/>
            <w:vAlign w:val="top"/>
          </w:tcPr>
          <w:p>
            <w:pPr>
              <w:spacing w:before="118" w:line="228" w:lineRule="auto"/>
              <w:ind w:left="25"/>
              <w:rPr>
                <w:rFonts w:ascii="宋体" w:hAnsi="宋体" w:eastAsia="宋体" w:cs="宋体"/>
                <w:sz w:val="19"/>
                <w:szCs w:val="19"/>
              </w:rPr>
            </w:pPr>
            <w:r>
              <w:rPr>
                <w:rFonts w:ascii="宋体" w:hAnsi="宋体" w:eastAsia="宋体" w:cs="宋体"/>
                <w:spacing w:val="9"/>
                <w:sz w:val="19"/>
                <w:szCs w:val="19"/>
              </w:rPr>
              <w:t>一、一般公共预算拨款收入</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3,566.56</w:t>
            </w:r>
          </w:p>
        </w:tc>
        <w:tc>
          <w:tcPr>
            <w:tcW w:w="3174" w:type="dxa"/>
            <w:vAlign w:val="top"/>
          </w:tcPr>
          <w:p>
            <w:pPr>
              <w:spacing w:before="118" w:line="227" w:lineRule="auto"/>
              <w:ind w:left="24"/>
              <w:rPr>
                <w:rFonts w:ascii="宋体" w:hAnsi="宋体" w:eastAsia="宋体" w:cs="宋体"/>
                <w:sz w:val="19"/>
                <w:szCs w:val="19"/>
              </w:rPr>
            </w:pPr>
            <w:r>
              <w:rPr>
                <w:rFonts w:ascii="宋体" w:hAnsi="宋体" w:eastAsia="宋体" w:cs="宋体"/>
                <w:spacing w:val="8"/>
                <w:sz w:val="19"/>
                <w:szCs w:val="19"/>
              </w:rPr>
              <w:t>一、社会保障和就业支出</w:t>
            </w: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r>
              <w:rPr>
                <w:rFonts w:hint="eastAsia" w:ascii="Times New Roman" w:hAnsi="Times New Roman" w:eastAsia="Times New Roman" w:cs="Times New Roman"/>
                <w:b w:val="0"/>
                <w:bCs w:val="0"/>
                <w:spacing w:val="2"/>
                <w:sz w:val="19"/>
                <w:szCs w:val="19"/>
                <w:lang w:val="en-US" w:eastAsia="zh-CN"/>
              </w:rPr>
              <w:t>2,689.00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7" w:line="227" w:lineRule="auto"/>
              <w:ind w:left="25"/>
              <w:rPr>
                <w:rFonts w:ascii="宋体" w:hAnsi="宋体" w:eastAsia="宋体" w:cs="宋体"/>
                <w:sz w:val="19"/>
                <w:szCs w:val="19"/>
              </w:rPr>
            </w:pPr>
            <w:r>
              <w:rPr>
                <w:rFonts w:ascii="宋体" w:hAnsi="宋体" w:eastAsia="宋体" w:cs="宋体"/>
                <w:spacing w:val="9"/>
                <w:sz w:val="19"/>
                <w:szCs w:val="19"/>
              </w:rPr>
              <w:t>二、政府性基金预算拨款收入</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spacing w:before="117" w:line="228" w:lineRule="auto"/>
              <w:ind w:left="24"/>
              <w:rPr>
                <w:rFonts w:ascii="宋体" w:hAnsi="宋体" w:eastAsia="宋体" w:cs="宋体"/>
                <w:sz w:val="19"/>
                <w:szCs w:val="19"/>
              </w:rPr>
            </w:pPr>
            <w:r>
              <w:rPr>
                <w:rFonts w:ascii="宋体" w:hAnsi="宋体" w:eastAsia="宋体" w:cs="宋体"/>
                <w:spacing w:val="8"/>
                <w:sz w:val="19"/>
                <w:szCs w:val="19"/>
              </w:rPr>
              <w:t>二、卫生健康支出</w:t>
            </w: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r>
              <w:rPr>
                <w:rFonts w:hint="eastAsia" w:ascii="Times New Roman" w:hAnsi="Times New Roman" w:eastAsia="Times New Roman" w:cs="Times New Roman"/>
                <w:b w:val="0"/>
                <w:bCs w:val="0"/>
                <w:spacing w:val="2"/>
                <w:sz w:val="19"/>
                <w:szCs w:val="19"/>
                <w:lang w:val="en-US" w:eastAsia="zh-CN"/>
              </w:rPr>
              <w:t>1,120.21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7" w:line="227" w:lineRule="auto"/>
              <w:ind w:left="22"/>
              <w:rPr>
                <w:rFonts w:ascii="宋体" w:hAnsi="宋体" w:eastAsia="宋体" w:cs="宋体"/>
                <w:sz w:val="19"/>
                <w:szCs w:val="19"/>
              </w:rPr>
            </w:pPr>
            <w:r>
              <w:rPr>
                <w:rFonts w:ascii="宋体" w:hAnsi="宋体" w:eastAsia="宋体" w:cs="宋体"/>
                <w:spacing w:val="9"/>
                <w:sz w:val="19"/>
                <w:szCs w:val="19"/>
              </w:rPr>
              <w:t>三、国有资本经营预算拨款收入</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spacing w:before="117" w:line="228" w:lineRule="auto"/>
              <w:ind w:left="20"/>
              <w:rPr>
                <w:rFonts w:ascii="宋体" w:hAnsi="宋体" w:eastAsia="宋体" w:cs="宋体"/>
                <w:sz w:val="19"/>
                <w:szCs w:val="19"/>
              </w:rPr>
            </w:pPr>
            <w:r>
              <w:rPr>
                <w:rFonts w:ascii="宋体" w:hAnsi="宋体" w:eastAsia="宋体" w:cs="宋体"/>
                <w:spacing w:val="8"/>
                <w:sz w:val="19"/>
                <w:szCs w:val="19"/>
              </w:rPr>
              <w:t>三、住房保障支出</w:t>
            </w: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r>
              <w:rPr>
                <w:rFonts w:hint="eastAsia" w:ascii="Times New Roman" w:hAnsi="Times New Roman" w:eastAsia="Times New Roman" w:cs="Times New Roman"/>
                <w:b w:val="0"/>
                <w:bCs w:val="0"/>
                <w:spacing w:val="2"/>
                <w:sz w:val="19"/>
                <w:szCs w:val="19"/>
                <w:lang w:val="en-US" w:eastAsia="zh-CN"/>
              </w:rPr>
              <w:t>438.74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7" w:line="228" w:lineRule="auto"/>
              <w:ind w:left="41"/>
              <w:rPr>
                <w:rFonts w:ascii="宋体" w:hAnsi="宋体" w:eastAsia="宋体" w:cs="宋体"/>
                <w:sz w:val="19"/>
                <w:szCs w:val="19"/>
              </w:rPr>
            </w:pPr>
            <w:r>
              <w:rPr>
                <w:rFonts w:ascii="宋体" w:hAnsi="宋体" w:eastAsia="宋体" w:cs="宋体"/>
                <w:spacing w:val="5"/>
                <w:sz w:val="19"/>
                <w:szCs w:val="19"/>
              </w:rPr>
              <w:t>四、事业收入</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spacing w:before="118" w:line="227" w:lineRule="auto"/>
              <w:ind w:left="39"/>
              <w:rPr>
                <w:rFonts w:ascii="宋体" w:hAnsi="宋体" w:eastAsia="宋体" w:cs="宋体"/>
                <w:sz w:val="19"/>
                <w:szCs w:val="19"/>
              </w:rPr>
            </w:pPr>
            <w:r>
              <w:rPr>
                <w:rFonts w:ascii="宋体" w:hAnsi="宋体" w:eastAsia="宋体" w:cs="宋体"/>
                <w:spacing w:val="7"/>
                <w:sz w:val="19"/>
                <w:szCs w:val="19"/>
              </w:rPr>
              <w:t>四、</w:t>
            </w:r>
            <w:r>
              <w:rPr>
                <w:rFonts w:ascii="宋体" w:hAnsi="宋体" w:eastAsia="宋体" w:cs="宋体"/>
                <w:spacing w:val="9"/>
                <w:sz w:val="19"/>
                <w:szCs w:val="19"/>
              </w:rPr>
              <w:t>灾害防治及应急管理支出</w:t>
            </w: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r>
              <w:rPr>
                <w:rFonts w:hint="eastAsia" w:ascii="Times New Roman" w:hAnsi="Times New Roman" w:eastAsia="Times New Roman" w:cs="Times New Roman"/>
                <w:b w:val="0"/>
                <w:bCs w:val="0"/>
                <w:spacing w:val="2"/>
                <w:sz w:val="19"/>
                <w:szCs w:val="19"/>
                <w:lang w:val="en-US" w:eastAsia="zh-CN"/>
              </w:rPr>
              <w:t>39,709.40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8" w:lineRule="auto"/>
              <w:ind w:left="25"/>
              <w:rPr>
                <w:rFonts w:ascii="宋体" w:hAnsi="宋体" w:eastAsia="宋体" w:cs="宋体"/>
                <w:sz w:val="19"/>
                <w:szCs w:val="19"/>
              </w:rPr>
            </w:pPr>
            <w:r>
              <w:rPr>
                <w:rFonts w:ascii="宋体" w:hAnsi="宋体" w:eastAsia="宋体" w:cs="宋体"/>
                <w:spacing w:val="8"/>
                <w:sz w:val="19"/>
                <w:szCs w:val="19"/>
              </w:rPr>
              <w:t>五、事业单位经营收入</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spacing w:before="118" w:line="228" w:lineRule="auto"/>
              <w:ind w:left="24"/>
              <w:rPr>
                <w:rFonts w:ascii="宋体" w:hAnsi="宋体" w:eastAsia="宋体" w:cs="宋体"/>
                <w:sz w:val="19"/>
                <w:szCs w:val="19"/>
              </w:rPr>
            </w:pP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8" w:lineRule="auto"/>
              <w:ind w:left="24"/>
              <w:rPr>
                <w:rFonts w:ascii="宋体" w:hAnsi="宋体" w:eastAsia="宋体" w:cs="宋体"/>
                <w:sz w:val="19"/>
                <w:szCs w:val="19"/>
              </w:rPr>
            </w:pPr>
            <w:r>
              <w:rPr>
                <w:rFonts w:ascii="宋体" w:hAnsi="宋体" w:eastAsia="宋体" w:cs="宋体"/>
                <w:spacing w:val="8"/>
                <w:sz w:val="19"/>
                <w:szCs w:val="19"/>
              </w:rPr>
              <w:t>六、其他收入</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21,685.45</w:t>
            </w:r>
          </w:p>
        </w:tc>
        <w:tc>
          <w:tcPr>
            <w:tcW w:w="3174" w:type="dxa"/>
            <w:vAlign w:val="top"/>
          </w:tcPr>
          <w:p>
            <w:pPr>
              <w:rPr>
                <w:rFonts w:ascii="Arial"/>
                <w:sz w:val="21"/>
              </w:rPr>
            </w:pP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178" w:type="dxa"/>
            <w:vAlign w:val="top"/>
          </w:tcPr>
          <w:p>
            <w:pPr>
              <w:rPr>
                <w:rFonts w:ascii="Arial"/>
                <w:sz w:val="21"/>
              </w:rPr>
            </w:pP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rPr>
                <w:rFonts w:ascii="Arial"/>
                <w:sz w:val="21"/>
              </w:rPr>
            </w:pP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rPr>
                <w:rFonts w:ascii="Arial"/>
                <w:sz w:val="21"/>
              </w:rPr>
            </w:pP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rPr>
                <w:rFonts w:ascii="Arial"/>
                <w:sz w:val="21"/>
              </w:rPr>
            </w:pPr>
          </w:p>
        </w:tc>
        <w:tc>
          <w:tcPr>
            <w:tcW w:w="3176" w:type="dxa"/>
            <w:vAlign w:val="center"/>
          </w:tcPr>
          <w:p>
            <w:pPr>
              <w:spacing w:before="150" w:line="197" w:lineRule="auto"/>
              <w:ind w:left="1928"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7" w:lineRule="auto"/>
              <w:ind w:left="995"/>
              <w:rPr>
                <w:rFonts w:ascii="宋体" w:hAnsi="宋体" w:eastAsia="宋体" w:cs="宋体"/>
                <w:sz w:val="19"/>
                <w:szCs w:val="19"/>
              </w:rPr>
            </w:pPr>
            <w:r>
              <w:rPr>
                <w:rFonts w:ascii="宋体" w:hAnsi="宋体" w:eastAsia="宋体" w:cs="宋体"/>
                <w:spacing w:val="8"/>
                <w:sz w:val="19"/>
                <w:szCs w:val="19"/>
              </w:rPr>
              <w:t>本年收入合计</w:t>
            </w:r>
          </w:p>
        </w:tc>
        <w:tc>
          <w:tcPr>
            <w:tcW w:w="3174" w:type="dxa"/>
            <w:vAlign w:val="center"/>
          </w:tcPr>
          <w:p>
            <w:pPr>
              <w:keepNext w:val="0"/>
              <w:keepLines w:val="0"/>
              <w:widowControl/>
              <w:suppressLineNumbers w:val="0"/>
              <w:jc w:val="right"/>
              <w:textAlignment w:val="center"/>
              <w:rPr>
                <w:rFonts w:hint="eastAsia" w:ascii="Times New Roman" w:hAnsi="Times New Roman" w:eastAsia="Times New Roman" w:cs="Times New Roman"/>
                <w:spacing w:val="2"/>
                <w:sz w:val="19"/>
                <w:szCs w:val="19"/>
                <w:lang w:val="en-US" w:eastAsia="zh-CN"/>
              </w:rPr>
            </w:pPr>
            <w:r>
              <w:rPr>
                <w:rFonts w:hint="eastAsia" w:ascii="宋体" w:hAnsi="宋体" w:eastAsia="宋体" w:cs="宋体"/>
                <w:i w:val="0"/>
                <w:snapToGrid w:val="0"/>
                <w:color w:val="000000"/>
                <w:kern w:val="0"/>
                <w:sz w:val="16"/>
                <w:szCs w:val="16"/>
                <w:u w:val="none"/>
                <w:lang w:val="en-US" w:eastAsia="zh-CN" w:bidi="ar"/>
              </w:rPr>
              <w:t>21,685.45</w:t>
            </w:r>
          </w:p>
        </w:tc>
        <w:tc>
          <w:tcPr>
            <w:tcW w:w="3174" w:type="dxa"/>
            <w:vAlign w:val="top"/>
          </w:tcPr>
          <w:p>
            <w:pPr>
              <w:spacing w:before="118" w:line="227" w:lineRule="auto"/>
              <w:ind w:left="993"/>
              <w:rPr>
                <w:rFonts w:ascii="宋体" w:hAnsi="宋体" w:eastAsia="宋体" w:cs="宋体"/>
                <w:sz w:val="19"/>
                <w:szCs w:val="19"/>
              </w:rPr>
            </w:pPr>
            <w:r>
              <w:rPr>
                <w:rFonts w:ascii="宋体" w:hAnsi="宋体" w:eastAsia="宋体" w:cs="宋体"/>
                <w:spacing w:val="8"/>
                <w:sz w:val="19"/>
                <w:szCs w:val="19"/>
              </w:rPr>
              <w:t>本年支出合计</w:t>
            </w:r>
          </w:p>
        </w:tc>
        <w:tc>
          <w:tcPr>
            <w:tcW w:w="3176" w:type="dxa"/>
            <w:vAlign w:val="center"/>
          </w:tcPr>
          <w:p>
            <w:pPr>
              <w:spacing w:before="150" w:line="197" w:lineRule="auto"/>
              <w:ind w:left="1928" w:leftChars="0" w:firstLine="194" w:firstLineChars="100"/>
              <w:jc w:val="center"/>
              <w:rPr>
                <w:rFonts w:hint="eastAsia" w:ascii="Times New Roman" w:hAnsi="Times New Roman" w:eastAsia="Times New Roman" w:cs="Times New Roman"/>
                <w:b w:val="0"/>
                <w:bCs w:val="0"/>
                <w:spacing w:val="2"/>
                <w:sz w:val="19"/>
                <w:szCs w:val="19"/>
                <w:lang w:val="en-US" w:eastAsia="zh-CN"/>
              </w:rPr>
            </w:pPr>
            <w:r>
              <w:rPr>
                <w:rFonts w:hint="eastAsia" w:ascii="Times New Roman" w:hAnsi="Times New Roman" w:eastAsia="Times New Roman" w:cs="Times New Roman"/>
                <w:b w:val="0"/>
                <w:bCs w:val="0"/>
                <w:spacing w:val="2"/>
                <w:sz w:val="19"/>
                <w:szCs w:val="19"/>
                <w:lang w:val="en-US" w:eastAsia="zh-CN"/>
              </w:rPr>
              <w:t>43,957.35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8" w:lineRule="auto"/>
              <w:ind w:left="23"/>
              <w:rPr>
                <w:rFonts w:ascii="宋体" w:hAnsi="宋体" w:eastAsia="宋体" w:cs="宋体"/>
                <w:sz w:val="19"/>
                <w:szCs w:val="19"/>
              </w:rPr>
            </w:pPr>
            <w:r>
              <w:rPr>
                <w:rFonts w:ascii="宋体" w:hAnsi="宋体" w:eastAsia="宋体" w:cs="宋体"/>
                <w:spacing w:val="9"/>
                <w:sz w:val="19"/>
                <w:szCs w:val="19"/>
              </w:rPr>
              <w:t>使用非财政拨款结余</w:t>
            </w: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spacing w:before="118" w:line="228" w:lineRule="auto"/>
              <w:ind w:left="25"/>
              <w:rPr>
                <w:rFonts w:ascii="宋体" w:hAnsi="宋体" w:eastAsia="宋体" w:cs="宋体"/>
                <w:sz w:val="19"/>
                <w:szCs w:val="19"/>
              </w:rPr>
            </w:pPr>
            <w:r>
              <w:rPr>
                <w:rFonts w:ascii="宋体" w:hAnsi="宋体" w:eastAsia="宋体" w:cs="宋体"/>
                <w:spacing w:val="6"/>
                <w:sz w:val="19"/>
                <w:szCs w:val="19"/>
              </w:rPr>
              <w:t>结转下年</w:t>
            </w:r>
          </w:p>
        </w:tc>
        <w:tc>
          <w:tcPr>
            <w:tcW w:w="3176" w:type="dxa"/>
            <w:vAlign w:val="center"/>
          </w:tcPr>
          <w:p>
            <w:pPr>
              <w:spacing w:before="150" w:line="197" w:lineRule="auto"/>
              <w:ind w:left="1928" w:leftChars="0"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9" w:line="228" w:lineRule="auto"/>
              <w:ind w:left="24"/>
              <w:rPr>
                <w:rFonts w:ascii="宋体" w:hAnsi="宋体" w:eastAsia="宋体" w:cs="宋体"/>
                <w:sz w:val="19"/>
                <w:szCs w:val="19"/>
              </w:rPr>
            </w:pPr>
            <w:r>
              <w:rPr>
                <w:rFonts w:ascii="宋体" w:hAnsi="宋体" w:eastAsia="宋体" w:cs="宋体"/>
                <w:spacing w:val="7"/>
                <w:sz w:val="19"/>
                <w:szCs w:val="19"/>
              </w:rPr>
              <w:t>上年结转</w:t>
            </w:r>
          </w:p>
        </w:tc>
        <w:tc>
          <w:tcPr>
            <w:tcW w:w="3174" w:type="dxa"/>
            <w:vAlign w:val="center"/>
          </w:tcPr>
          <w:p>
            <w:pPr>
              <w:spacing w:before="150" w:line="197" w:lineRule="auto"/>
              <w:ind w:left="1928" w:firstLine="194" w:firstLineChars="100"/>
              <w:jc w:val="right"/>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18,705.34</w:t>
            </w:r>
          </w:p>
        </w:tc>
        <w:tc>
          <w:tcPr>
            <w:tcW w:w="3174" w:type="dxa"/>
            <w:vAlign w:val="top"/>
          </w:tcPr>
          <w:p>
            <w:pPr>
              <w:rPr>
                <w:rFonts w:ascii="Arial"/>
                <w:sz w:val="21"/>
              </w:rPr>
            </w:pPr>
          </w:p>
        </w:tc>
        <w:tc>
          <w:tcPr>
            <w:tcW w:w="3176" w:type="dxa"/>
            <w:vAlign w:val="center"/>
          </w:tcPr>
          <w:p>
            <w:pPr>
              <w:spacing w:before="150" w:line="197" w:lineRule="auto"/>
              <w:ind w:left="1928" w:leftChars="0"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178" w:type="dxa"/>
            <w:vAlign w:val="top"/>
          </w:tcPr>
          <w:p>
            <w:pPr>
              <w:rPr>
                <w:rFonts w:ascii="Arial"/>
                <w:sz w:val="21"/>
              </w:rPr>
            </w:pPr>
          </w:p>
        </w:tc>
        <w:tc>
          <w:tcPr>
            <w:tcW w:w="3174" w:type="dxa"/>
            <w:vAlign w:val="center"/>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c>
          <w:tcPr>
            <w:tcW w:w="3174" w:type="dxa"/>
            <w:vAlign w:val="top"/>
          </w:tcPr>
          <w:p>
            <w:pPr>
              <w:rPr>
                <w:rFonts w:ascii="Arial"/>
                <w:sz w:val="21"/>
              </w:rPr>
            </w:pPr>
          </w:p>
        </w:tc>
        <w:tc>
          <w:tcPr>
            <w:tcW w:w="3176" w:type="dxa"/>
            <w:vAlign w:val="center"/>
          </w:tcPr>
          <w:p>
            <w:pPr>
              <w:spacing w:before="150" w:line="197" w:lineRule="auto"/>
              <w:ind w:left="1928" w:leftChars="0" w:firstLine="194" w:firstLineChars="100"/>
              <w:jc w:val="center"/>
              <w:rPr>
                <w:rFonts w:hint="eastAsia" w:ascii="Times New Roman" w:hAnsi="Times New Roman" w:eastAsia="Times New Roman" w:cs="Times New Roman"/>
                <w:b w:val="0"/>
                <w:bCs w:val="0"/>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3178" w:type="dxa"/>
            <w:vAlign w:val="top"/>
          </w:tcPr>
          <w:p>
            <w:pPr>
              <w:spacing w:before="121" w:line="228" w:lineRule="auto"/>
              <w:ind w:left="600"/>
              <w:rPr>
                <w:rFonts w:ascii="宋体" w:hAnsi="宋体" w:eastAsia="宋体" w:cs="宋体"/>
                <w:sz w:val="19"/>
                <w:szCs w:val="19"/>
              </w:rPr>
            </w:pPr>
            <w:r>
              <w:rPr>
                <w:rFonts w:ascii="宋体" w:hAnsi="宋体" w:eastAsia="宋体" w:cs="宋体"/>
                <w:spacing w:val="-2"/>
                <w:sz w:val="19"/>
                <w:szCs w:val="19"/>
                <w14:textOutline w14:w="3614" w14:cap="sq" w14:cmpd="sng">
                  <w14:solidFill>
                    <w14:srgbClr w14:val="000000"/>
                  </w14:solidFill>
                  <w14:prstDash w14:val="solid"/>
                  <w14:bevel/>
                </w14:textOutline>
              </w:rPr>
              <w:t>收</w:t>
            </w:r>
            <w:r>
              <w:rPr>
                <w:rFonts w:ascii="宋体" w:hAnsi="宋体" w:eastAsia="宋体" w:cs="宋体"/>
                <w:spacing w:val="7"/>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入</w:t>
            </w:r>
            <w:r>
              <w:rPr>
                <w:rFonts w:ascii="宋体" w:hAnsi="宋体" w:eastAsia="宋体" w:cs="宋体"/>
                <w:spacing w:val="9"/>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总</w:t>
            </w:r>
            <w:r>
              <w:rPr>
                <w:rFonts w:ascii="宋体" w:hAnsi="宋体" w:eastAsia="宋体" w:cs="宋体"/>
                <w:spacing w:val="7"/>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计</w:t>
            </w:r>
          </w:p>
        </w:tc>
        <w:tc>
          <w:tcPr>
            <w:tcW w:w="3174" w:type="dxa"/>
            <w:vAlign w:val="center"/>
          </w:tcPr>
          <w:p>
            <w:pPr>
              <w:spacing w:before="150" w:line="197" w:lineRule="auto"/>
              <w:ind w:left="1928" w:firstLine="194" w:firstLineChars="100"/>
              <w:jc w:val="center"/>
              <w:rPr>
                <w:rFonts w:hint="default"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b/>
                <w:bCs/>
                <w:spacing w:val="2"/>
                <w:sz w:val="19"/>
                <w:szCs w:val="19"/>
                <w:lang w:val="en-US" w:eastAsia="zh-CN"/>
              </w:rPr>
              <w:t>43,957.35</w:t>
            </w:r>
          </w:p>
        </w:tc>
        <w:tc>
          <w:tcPr>
            <w:tcW w:w="3174" w:type="dxa"/>
            <w:vAlign w:val="top"/>
          </w:tcPr>
          <w:p>
            <w:pPr>
              <w:spacing w:before="120" w:line="229" w:lineRule="auto"/>
              <w:ind w:left="592"/>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支</w:t>
            </w:r>
            <w:r>
              <w:rPr>
                <w:rFonts w:ascii="宋体" w:hAnsi="宋体" w:eastAsia="宋体" w:cs="宋体"/>
                <w:spacing w:val="11"/>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出</w:t>
            </w:r>
            <w:r>
              <w:rPr>
                <w:rFonts w:ascii="宋体" w:hAnsi="宋体" w:eastAsia="宋体" w:cs="宋体"/>
                <w:spacing w:val="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总</w:t>
            </w:r>
            <w:r>
              <w:rPr>
                <w:rFonts w:ascii="宋体" w:hAnsi="宋体" w:eastAsia="宋体" w:cs="宋体"/>
                <w:spacing w:val="7"/>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计</w:t>
            </w:r>
          </w:p>
        </w:tc>
        <w:tc>
          <w:tcPr>
            <w:tcW w:w="3176" w:type="dxa"/>
            <w:vAlign w:val="center"/>
          </w:tcPr>
          <w:p>
            <w:pPr>
              <w:spacing w:before="150" w:line="197" w:lineRule="auto"/>
              <w:ind w:left="1928" w:leftChars="0" w:firstLine="194" w:firstLineChars="100"/>
              <w:jc w:val="center"/>
              <w:rPr>
                <w:rFonts w:hint="eastAsia" w:ascii="Times New Roman" w:hAnsi="Times New Roman" w:eastAsia="Times New Roman" w:cs="Times New Roman"/>
                <w:b/>
                <w:bCs/>
                <w:spacing w:val="2"/>
                <w:sz w:val="19"/>
                <w:szCs w:val="19"/>
                <w:lang w:val="en-US" w:eastAsia="zh-CN"/>
              </w:rPr>
            </w:pPr>
            <w:r>
              <w:rPr>
                <w:rFonts w:hint="eastAsia" w:ascii="Times New Roman" w:hAnsi="Times New Roman" w:eastAsia="Times New Roman" w:cs="Times New Roman"/>
                <w:b/>
                <w:bCs/>
                <w:spacing w:val="2"/>
                <w:sz w:val="19"/>
                <w:szCs w:val="19"/>
                <w:lang w:val="en-US" w:eastAsia="zh-CN"/>
              </w:rPr>
              <w:t>43,957.35</w:t>
            </w:r>
          </w:p>
        </w:tc>
      </w:tr>
    </w:tbl>
    <w:p>
      <w:pPr>
        <w:sectPr>
          <w:footerReference r:id="rId9" w:type="default"/>
          <w:pgSz w:w="16838" w:h="11906" w:orient="landscape"/>
          <w:pgMar w:top="720" w:right="720" w:bottom="720" w:left="720" w:header="0" w:footer="646" w:gutter="0"/>
          <w:pgNumType w:fmt="decimal"/>
          <w:cols w:space="720" w:num="1"/>
        </w:sectPr>
      </w:pPr>
    </w:p>
    <w:p>
      <w:pPr>
        <w:spacing w:before="62" w:line="228" w:lineRule="auto"/>
        <w:ind w:right="21"/>
        <w:jc w:val="center"/>
        <w:rPr>
          <w:rFonts w:ascii="微软雅黑" w:hAnsi="微软雅黑" w:eastAsia="微软雅黑" w:cs="微软雅黑"/>
          <w:spacing w:val="8"/>
          <w:sz w:val="31"/>
          <w:szCs w:val="31"/>
        </w:rPr>
      </w:pPr>
      <w:r>
        <w:rPr>
          <w:rFonts w:ascii="微软雅黑" w:hAnsi="微软雅黑" w:eastAsia="微软雅黑" w:cs="微软雅黑"/>
          <w:spacing w:val="8"/>
          <w:sz w:val="31"/>
          <w:szCs w:val="31"/>
        </w:rPr>
        <w:t>部门收入总表</w:t>
      </w:r>
    </w:p>
    <w:p>
      <w:pPr>
        <w:spacing w:before="62" w:line="228" w:lineRule="auto"/>
        <w:ind w:right="21"/>
        <w:jc w:val="center"/>
        <w:rPr>
          <w:rFonts w:ascii="微软雅黑" w:hAnsi="微软雅黑" w:eastAsia="微软雅黑" w:cs="微软雅黑"/>
          <w:spacing w:val="8"/>
          <w:sz w:val="31"/>
          <w:szCs w:val="31"/>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9"/>
          <w:sz w:val="19"/>
          <w:szCs w:val="19"/>
        </w:rPr>
        <w:t xml:space="preserve"> </w:t>
      </w:r>
      <w:r>
        <w:rPr>
          <w:rFonts w:ascii="Times New Roman" w:hAnsi="Times New Roman" w:eastAsia="Times New Roman" w:cs="Times New Roman"/>
          <w:spacing w:val="6"/>
          <w:sz w:val="19"/>
          <w:szCs w:val="19"/>
        </w:rPr>
        <w:t>2</w:t>
      </w:r>
    </w:p>
    <w:p>
      <w:pPr>
        <w:spacing w:before="156" w:line="220" w:lineRule="auto"/>
        <w:ind w:right="19"/>
        <w:jc w:val="center"/>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tbl>
      <w:tblPr>
        <w:tblStyle w:val="8"/>
        <w:tblpPr w:leftFromText="180" w:rightFromText="180" w:vertAnchor="text" w:horzAnchor="page" w:tblpX="1356" w:tblpY="86"/>
        <w:tblOverlap w:val="never"/>
        <w:tblW w:w="1383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1"/>
        <w:gridCol w:w="1303"/>
        <w:gridCol w:w="1303"/>
        <w:gridCol w:w="1304"/>
        <w:gridCol w:w="1303"/>
        <w:gridCol w:w="964"/>
        <w:gridCol w:w="964"/>
        <w:gridCol w:w="907"/>
        <w:gridCol w:w="907"/>
        <w:gridCol w:w="907"/>
        <w:gridCol w:w="1416"/>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trPr>
        <w:tc>
          <w:tcPr>
            <w:tcW w:w="1421"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1" w:line="230" w:lineRule="auto"/>
              <w:ind w:left="515"/>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303"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2" w:line="228" w:lineRule="auto"/>
              <w:ind w:left="25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上年结转</w:t>
            </w:r>
          </w:p>
        </w:tc>
        <w:tc>
          <w:tcPr>
            <w:tcW w:w="1303"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256" w:right="46" w:hanging="19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一般公共预算</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拨款收入</w:t>
            </w:r>
          </w:p>
        </w:tc>
        <w:tc>
          <w:tcPr>
            <w:tcW w:w="1304"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58" w:right="47" w:firstLine="98"/>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政府性基金</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预算拨款收入</w:t>
            </w:r>
          </w:p>
        </w:tc>
        <w:tc>
          <w:tcPr>
            <w:tcW w:w="1303"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60" w:right="45" w:firstLine="17"/>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国有资本经营</w:t>
            </w:r>
            <w:r>
              <w:rPr>
                <w:rFonts w:ascii="宋体" w:hAnsi="宋体" w:eastAsia="宋体" w:cs="宋体"/>
                <w:spacing w:val="3"/>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预算拨款收入</w:t>
            </w:r>
          </w:p>
        </w:tc>
        <w:tc>
          <w:tcPr>
            <w:tcW w:w="1928" w:type="dxa"/>
            <w:gridSpan w:val="2"/>
            <w:vAlign w:val="top"/>
          </w:tcPr>
          <w:p>
            <w:pPr>
              <w:spacing w:line="425" w:lineRule="auto"/>
              <w:rPr>
                <w:rFonts w:ascii="Arial"/>
                <w:sz w:val="21"/>
              </w:rPr>
            </w:pPr>
          </w:p>
          <w:p>
            <w:pPr>
              <w:spacing w:before="62" w:line="228" w:lineRule="auto"/>
              <w:ind w:left="56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事业收入</w:t>
            </w:r>
          </w:p>
        </w:tc>
        <w:tc>
          <w:tcPr>
            <w:tcW w:w="907"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61" w:right="48" w:hanging="1"/>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事业单位</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经营收入</w:t>
            </w:r>
          </w:p>
        </w:tc>
        <w:tc>
          <w:tcPr>
            <w:tcW w:w="907"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158" w:right="151" w:firstLine="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上级补</w:t>
            </w:r>
            <w:r>
              <w:rPr>
                <w:rFonts w:ascii="宋体" w:hAnsi="宋体" w:eastAsia="宋体" w:cs="宋体"/>
                <w:spacing w:val="1"/>
                <w:sz w:val="19"/>
                <w:szCs w:val="19"/>
              </w:rPr>
              <w:t xml:space="preserve"> </w:t>
            </w:r>
            <w:r>
              <w:rPr>
                <w:rFonts w:ascii="宋体" w:hAnsi="宋体" w:eastAsia="宋体" w:cs="宋体"/>
                <w:spacing w:val="7"/>
                <w:sz w:val="19"/>
                <w:szCs w:val="19"/>
                <w14:textOutline w14:w="3614" w14:cap="sq" w14:cmpd="sng">
                  <w14:solidFill>
                    <w14:srgbClr w14:val="000000"/>
                  </w14:solidFill>
                  <w14:prstDash w14:val="solid"/>
                  <w14:bevel/>
                </w14:textOutline>
              </w:rPr>
              <w:t>助收入</w:t>
            </w:r>
          </w:p>
        </w:tc>
        <w:tc>
          <w:tcPr>
            <w:tcW w:w="907"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59" w:right="50" w:firstLine="13"/>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附属单位</w:t>
            </w:r>
            <w:r>
              <w:rPr>
                <w:rFonts w:ascii="宋体" w:hAnsi="宋体" w:eastAsia="宋体" w:cs="宋体"/>
                <w:spacing w:val="1"/>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上缴收入</w:t>
            </w:r>
          </w:p>
        </w:tc>
        <w:tc>
          <w:tcPr>
            <w:tcW w:w="1416"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2" w:line="228" w:lineRule="auto"/>
              <w:ind w:left="316"/>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其他收入</w:t>
            </w:r>
          </w:p>
        </w:tc>
        <w:tc>
          <w:tcPr>
            <w:tcW w:w="1138"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175" w:right="62" w:hanging="9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使用非财政</w:t>
            </w:r>
            <w:r>
              <w:rPr>
                <w:rFonts w:ascii="宋体" w:hAnsi="宋体" w:eastAsia="宋体" w:cs="宋体"/>
                <w:spacing w:val="3"/>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拨款结余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1421" w:type="dxa"/>
            <w:vMerge w:val="continue"/>
            <w:tcBorders>
              <w:top w:val="nil"/>
            </w:tcBorders>
            <w:vAlign w:val="top"/>
          </w:tcPr>
          <w:p>
            <w:pPr>
              <w:rPr>
                <w:rFonts w:ascii="Arial"/>
                <w:sz w:val="21"/>
              </w:rPr>
            </w:pPr>
          </w:p>
        </w:tc>
        <w:tc>
          <w:tcPr>
            <w:tcW w:w="1303" w:type="dxa"/>
            <w:vMerge w:val="continue"/>
            <w:tcBorders>
              <w:top w:val="nil"/>
            </w:tcBorders>
            <w:vAlign w:val="top"/>
          </w:tcPr>
          <w:p>
            <w:pPr>
              <w:rPr>
                <w:rFonts w:ascii="Arial"/>
                <w:sz w:val="21"/>
              </w:rPr>
            </w:pPr>
          </w:p>
        </w:tc>
        <w:tc>
          <w:tcPr>
            <w:tcW w:w="1303" w:type="dxa"/>
            <w:vMerge w:val="continue"/>
            <w:tcBorders>
              <w:top w:val="nil"/>
            </w:tcBorders>
            <w:vAlign w:val="top"/>
          </w:tcPr>
          <w:p>
            <w:pPr>
              <w:rPr>
                <w:rFonts w:ascii="Arial"/>
                <w:sz w:val="21"/>
              </w:rPr>
            </w:pPr>
          </w:p>
        </w:tc>
        <w:tc>
          <w:tcPr>
            <w:tcW w:w="1304" w:type="dxa"/>
            <w:vMerge w:val="continue"/>
            <w:tcBorders>
              <w:top w:val="nil"/>
            </w:tcBorders>
            <w:vAlign w:val="top"/>
          </w:tcPr>
          <w:p>
            <w:pPr>
              <w:rPr>
                <w:rFonts w:ascii="Arial"/>
                <w:sz w:val="21"/>
              </w:rPr>
            </w:pPr>
          </w:p>
        </w:tc>
        <w:tc>
          <w:tcPr>
            <w:tcW w:w="1303" w:type="dxa"/>
            <w:vMerge w:val="continue"/>
            <w:tcBorders>
              <w:top w:val="nil"/>
            </w:tcBorders>
            <w:vAlign w:val="top"/>
          </w:tcPr>
          <w:p>
            <w:pPr>
              <w:rPr>
                <w:rFonts w:ascii="Arial"/>
                <w:sz w:val="21"/>
              </w:rPr>
            </w:pPr>
          </w:p>
        </w:tc>
        <w:tc>
          <w:tcPr>
            <w:tcW w:w="964" w:type="dxa"/>
            <w:vAlign w:val="top"/>
          </w:tcPr>
          <w:p>
            <w:pPr>
              <w:spacing w:line="279" w:lineRule="auto"/>
              <w:rPr>
                <w:rFonts w:ascii="Arial"/>
                <w:sz w:val="21"/>
              </w:rPr>
            </w:pPr>
          </w:p>
          <w:p>
            <w:pPr>
              <w:spacing w:before="62" w:line="228" w:lineRule="auto"/>
              <w:ind w:left="290"/>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金额</w:t>
            </w:r>
          </w:p>
        </w:tc>
        <w:tc>
          <w:tcPr>
            <w:tcW w:w="964" w:type="dxa"/>
            <w:vAlign w:val="top"/>
          </w:tcPr>
          <w:p>
            <w:pPr>
              <w:spacing w:before="186" w:line="266" w:lineRule="auto"/>
              <w:ind w:left="293" w:right="43" w:hanging="23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其中</w:t>
            </w:r>
            <w:r>
              <w:rPr>
                <w:rFonts w:ascii="Times New Roman" w:hAnsi="Times New Roman" w:eastAsia="Times New Roman" w:cs="Times New Roman"/>
                <w:b/>
                <w:bCs/>
                <w:spacing w:val="7"/>
                <w:sz w:val="19"/>
                <w:szCs w:val="19"/>
              </w:rPr>
              <w:t>:</w:t>
            </w:r>
            <w:r>
              <w:rPr>
                <w:rFonts w:ascii="宋体" w:hAnsi="宋体" w:eastAsia="宋体" w:cs="宋体"/>
                <w:spacing w:val="7"/>
                <w:sz w:val="19"/>
                <w:szCs w:val="19"/>
                <w14:textOutline w14:w="3614" w14:cap="sq" w14:cmpd="sng">
                  <w14:solidFill>
                    <w14:srgbClr w14:val="000000"/>
                  </w14:solidFill>
                  <w14:prstDash w14:val="solid"/>
                  <w14:bevel/>
                </w14:textOutline>
              </w:rPr>
              <w:t>教育</w:t>
            </w:r>
            <w:r>
              <w:rPr>
                <w:rFonts w:ascii="宋体" w:hAnsi="宋体" w:eastAsia="宋体" w:cs="宋体"/>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收费</w:t>
            </w:r>
          </w:p>
        </w:tc>
        <w:tc>
          <w:tcPr>
            <w:tcW w:w="907" w:type="dxa"/>
            <w:vMerge w:val="continue"/>
            <w:tcBorders>
              <w:top w:val="nil"/>
            </w:tcBorders>
            <w:vAlign w:val="top"/>
          </w:tcPr>
          <w:p>
            <w:pPr>
              <w:rPr>
                <w:rFonts w:ascii="Arial"/>
                <w:sz w:val="21"/>
              </w:rPr>
            </w:pPr>
          </w:p>
        </w:tc>
        <w:tc>
          <w:tcPr>
            <w:tcW w:w="907" w:type="dxa"/>
            <w:vMerge w:val="continue"/>
            <w:tcBorders>
              <w:top w:val="nil"/>
            </w:tcBorders>
            <w:vAlign w:val="top"/>
          </w:tcPr>
          <w:p>
            <w:pPr>
              <w:rPr>
                <w:rFonts w:ascii="Arial"/>
                <w:sz w:val="21"/>
              </w:rPr>
            </w:pPr>
          </w:p>
        </w:tc>
        <w:tc>
          <w:tcPr>
            <w:tcW w:w="907" w:type="dxa"/>
            <w:vMerge w:val="continue"/>
            <w:tcBorders>
              <w:top w:val="nil"/>
            </w:tcBorders>
            <w:vAlign w:val="top"/>
          </w:tcPr>
          <w:p>
            <w:pPr>
              <w:rPr>
                <w:rFonts w:ascii="Arial"/>
                <w:sz w:val="21"/>
              </w:rPr>
            </w:pPr>
          </w:p>
        </w:tc>
        <w:tc>
          <w:tcPr>
            <w:tcW w:w="1416"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trPr>
        <w:tc>
          <w:tcPr>
            <w:tcW w:w="1421" w:type="dxa"/>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16"/>
                <w:szCs w:val="16"/>
                <w:u w:val="none"/>
                <w:lang w:val="en-US" w:eastAsia="en-US" w:bidi="ar"/>
              </w:rPr>
            </w:pPr>
            <w:r>
              <w:rPr>
                <w:rFonts w:hint="eastAsia" w:ascii="Times New Roman" w:hAnsi="Times New Roman" w:eastAsia="Times New Roman" w:cs="Times New Roman"/>
                <w:spacing w:val="2"/>
                <w:sz w:val="19"/>
                <w:szCs w:val="19"/>
                <w:lang w:val="en-US" w:eastAsia="zh-CN"/>
              </w:rPr>
              <w:t>43,957.35</w:t>
            </w:r>
          </w:p>
        </w:tc>
        <w:tc>
          <w:tcPr>
            <w:tcW w:w="1303"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r>
              <w:rPr>
                <w:rFonts w:hint="eastAsia" w:ascii="Times New Roman" w:hAnsi="Times New Roman" w:eastAsia="Times New Roman" w:cs="Times New Roman"/>
                <w:spacing w:val="2"/>
                <w:sz w:val="19"/>
                <w:szCs w:val="19"/>
                <w:lang w:val="en-US" w:eastAsia="zh-CN"/>
              </w:rPr>
              <w:t>18,705.34</w:t>
            </w:r>
          </w:p>
        </w:tc>
        <w:tc>
          <w:tcPr>
            <w:tcW w:w="1303"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r>
              <w:rPr>
                <w:rFonts w:hint="eastAsia" w:ascii="Times New Roman" w:hAnsi="Times New Roman" w:eastAsia="Times New Roman" w:cs="Times New Roman"/>
                <w:spacing w:val="2"/>
                <w:sz w:val="19"/>
                <w:szCs w:val="19"/>
                <w:lang w:val="en-US" w:eastAsia="zh-CN"/>
              </w:rPr>
              <w:t>3,566.56</w:t>
            </w:r>
          </w:p>
        </w:tc>
        <w:tc>
          <w:tcPr>
            <w:tcW w:w="1304"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1303"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964"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964"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907"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907"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907"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p>
        </w:tc>
        <w:tc>
          <w:tcPr>
            <w:tcW w:w="1416" w:type="dxa"/>
            <w:vAlign w:val="center"/>
          </w:tcPr>
          <w:p>
            <w:pPr>
              <w:keepNext w:val="0"/>
              <w:keepLines w:val="0"/>
              <w:widowControl/>
              <w:suppressLineNumbers w:val="0"/>
              <w:jc w:val="center"/>
              <w:textAlignment w:val="center"/>
              <w:rPr>
                <w:rFonts w:hint="eastAsia" w:ascii="Times New Roman" w:hAnsi="Times New Roman" w:eastAsia="Times New Roman" w:cs="Times New Roman"/>
                <w:spacing w:val="2"/>
                <w:sz w:val="19"/>
                <w:szCs w:val="19"/>
                <w:lang w:val="en-US" w:eastAsia="en-US"/>
              </w:rPr>
            </w:pPr>
            <w:r>
              <w:rPr>
                <w:rFonts w:hint="eastAsia" w:ascii="Times New Roman" w:hAnsi="Times New Roman" w:eastAsia="Times New Roman" w:cs="Times New Roman"/>
                <w:spacing w:val="2"/>
                <w:sz w:val="19"/>
                <w:szCs w:val="19"/>
                <w:lang w:val="en-US" w:eastAsia="zh-CN"/>
              </w:rPr>
              <w:t>21,685.45</w:t>
            </w:r>
          </w:p>
        </w:tc>
        <w:tc>
          <w:tcPr>
            <w:tcW w:w="1138" w:type="dxa"/>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16"/>
                <w:szCs w:val="16"/>
                <w:u w:val="none"/>
                <w:lang w:val="en-US" w:eastAsia="zh-CN" w:bidi="ar"/>
              </w:rPr>
            </w:pPr>
          </w:p>
        </w:tc>
      </w:tr>
    </w:tbl>
    <w:p>
      <w:pPr>
        <w:sectPr>
          <w:footerReference r:id="rId10" w:type="default"/>
          <w:pgSz w:w="16838" w:h="11906" w:orient="landscape"/>
          <w:pgMar w:top="720" w:right="720" w:bottom="720" w:left="720" w:header="0" w:footer="646" w:gutter="0"/>
          <w:pgNumType w:fmt="decimal"/>
          <w:cols w:space="720" w:num="1"/>
        </w:sectPr>
      </w:pPr>
    </w:p>
    <w:p>
      <w:pPr>
        <w:spacing w:before="62" w:line="228" w:lineRule="auto"/>
        <w:ind w:right="15"/>
        <w:jc w:val="center"/>
        <w:rPr>
          <w:rFonts w:ascii="Times New Roman" w:hAnsi="Times New Roman" w:eastAsia="Times New Roman" w:cs="Times New Roman"/>
          <w:sz w:val="19"/>
          <w:szCs w:val="19"/>
        </w:rPr>
      </w:pPr>
      <w:r>
        <w:rPr>
          <w:rFonts w:hint="eastAsia" w:ascii="宋体" w:hAnsi="宋体" w:eastAsia="宋体" w:cs="宋体"/>
          <w:spacing w:val="6"/>
          <w:sz w:val="19"/>
          <w:szCs w:val="19"/>
          <w:lang w:val="en-US" w:eastAsia="zh-CN"/>
        </w:rPr>
        <w:t xml:space="preserve">                                                                                                             </w:t>
      </w:r>
    </w:p>
    <w:p>
      <w:pPr>
        <w:spacing w:before="62" w:line="228" w:lineRule="auto"/>
        <w:ind w:right="15"/>
        <w:jc w:val="center"/>
        <w:rPr>
          <w:rFonts w:hint="eastAsia" w:ascii="宋体" w:hAnsi="宋体" w:eastAsia="宋体" w:cs="宋体"/>
          <w:spacing w:val="6"/>
          <w:sz w:val="19"/>
          <w:szCs w:val="19"/>
          <w:lang w:val="en-US" w:eastAsia="zh-CN"/>
        </w:rPr>
      </w:pPr>
      <w:bookmarkStart w:id="2" w:name="bookmark8"/>
      <w:bookmarkEnd w:id="2"/>
      <w:r>
        <w:rPr>
          <w:rFonts w:ascii="微软雅黑" w:hAnsi="微软雅黑" w:eastAsia="微软雅黑" w:cs="微软雅黑"/>
          <w:spacing w:val="8"/>
          <w:sz w:val="31"/>
          <w:szCs w:val="31"/>
        </w:rPr>
        <w:t>部门支出总表</w:t>
      </w:r>
      <w:r>
        <w:rPr>
          <w:rFonts w:hint="eastAsia" w:ascii="宋体" w:hAnsi="宋体" w:eastAsia="宋体" w:cs="宋体"/>
          <w:spacing w:val="6"/>
          <w:sz w:val="19"/>
          <w:szCs w:val="19"/>
          <w:lang w:val="en-US" w:eastAsia="zh-CN"/>
        </w:rPr>
        <w:t xml:space="preserve"> </w:t>
      </w:r>
    </w:p>
    <w:p>
      <w:pPr>
        <w:spacing w:before="62" w:line="228" w:lineRule="auto"/>
        <w:ind w:right="15"/>
        <w:jc w:val="left"/>
        <w:rPr>
          <w:rFonts w:ascii="Times New Roman" w:hAnsi="Times New Roman" w:eastAsia="Times New Roman" w:cs="Times New Roman"/>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3"/>
          <w:sz w:val="19"/>
          <w:szCs w:val="19"/>
        </w:rPr>
        <w:t xml:space="preserve"> </w:t>
      </w:r>
      <w:r>
        <w:rPr>
          <w:rFonts w:ascii="Times New Roman" w:hAnsi="Times New Roman" w:eastAsia="Times New Roman" w:cs="Times New Roman"/>
          <w:spacing w:val="6"/>
          <w:sz w:val="19"/>
          <w:szCs w:val="19"/>
        </w:rPr>
        <w:t>3</w:t>
      </w:r>
    </w:p>
    <w:p>
      <w:pPr>
        <w:spacing w:before="157" w:line="220" w:lineRule="auto"/>
        <w:ind w:right="20"/>
        <w:jc w:val="left"/>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tbl>
      <w:tblPr>
        <w:tblStyle w:val="8"/>
        <w:tblpPr w:leftFromText="180" w:rightFromText="180" w:vertAnchor="text" w:horzAnchor="page" w:tblpX="1473" w:tblpY="13"/>
        <w:tblOverlap w:val="never"/>
        <w:tblW w:w="134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3401"/>
        <w:gridCol w:w="1700"/>
        <w:gridCol w:w="1700"/>
        <w:gridCol w:w="1643"/>
        <w:gridCol w:w="1247"/>
        <w:gridCol w:w="1247"/>
        <w:gridCol w:w="12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1251" w:type="dxa"/>
            <w:vAlign w:val="top"/>
          </w:tcPr>
          <w:p>
            <w:pPr>
              <w:spacing w:line="282" w:lineRule="auto"/>
              <w:rPr>
                <w:rFonts w:ascii="Arial"/>
                <w:sz w:val="20"/>
                <w:szCs w:val="20"/>
              </w:rPr>
            </w:pPr>
          </w:p>
          <w:p>
            <w:pPr>
              <w:spacing w:before="62" w:line="227" w:lineRule="auto"/>
              <w:ind w:left="23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科目编码</w:t>
            </w:r>
          </w:p>
        </w:tc>
        <w:tc>
          <w:tcPr>
            <w:tcW w:w="3401" w:type="dxa"/>
            <w:vAlign w:val="top"/>
          </w:tcPr>
          <w:p>
            <w:pPr>
              <w:spacing w:line="282" w:lineRule="auto"/>
              <w:rPr>
                <w:rFonts w:ascii="Arial"/>
                <w:sz w:val="20"/>
                <w:szCs w:val="20"/>
              </w:rPr>
            </w:pPr>
          </w:p>
          <w:p>
            <w:pPr>
              <w:spacing w:before="62" w:line="227" w:lineRule="auto"/>
              <w:ind w:left="1305"/>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科目名称</w:t>
            </w:r>
          </w:p>
        </w:tc>
        <w:tc>
          <w:tcPr>
            <w:tcW w:w="1700" w:type="dxa"/>
            <w:vAlign w:val="top"/>
          </w:tcPr>
          <w:p>
            <w:pPr>
              <w:spacing w:line="281" w:lineRule="auto"/>
              <w:rPr>
                <w:rFonts w:ascii="Arial"/>
                <w:sz w:val="20"/>
                <w:szCs w:val="20"/>
              </w:rPr>
            </w:pPr>
          </w:p>
          <w:p>
            <w:pPr>
              <w:spacing w:before="62" w:line="230" w:lineRule="auto"/>
              <w:ind w:left="655"/>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合计</w:t>
            </w:r>
          </w:p>
        </w:tc>
        <w:tc>
          <w:tcPr>
            <w:tcW w:w="1700" w:type="dxa"/>
            <w:vAlign w:val="top"/>
          </w:tcPr>
          <w:p>
            <w:pPr>
              <w:spacing w:line="282" w:lineRule="auto"/>
              <w:rPr>
                <w:rFonts w:ascii="Arial"/>
                <w:sz w:val="20"/>
                <w:szCs w:val="20"/>
              </w:rPr>
            </w:pPr>
          </w:p>
          <w:p>
            <w:pPr>
              <w:spacing w:before="62" w:line="227" w:lineRule="auto"/>
              <w:ind w:left="454"/>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基本支出</w:t>
            </w:r>
          </w:p>
        </w:tc>
        <w:tc>
          <w:tcPr>
            <w:tcW w:w="1643" w:type="dxa"/>
            <w:vAlign w:val="top"/>
          </w:tcPr>
          <w:p>
            <w:pPr>
              <w:spacing w:line="282" w:lineRule="auto"/>
              <w:rPr>
                <w:rFonts w:ascii="Arial"/>
                <w:sz w:val="20"/>
                <w:szCs w:val="20"/>
              </w:rPr>
            </w:pPr>
          </w:p>
          <w:p>
            <w:pPr>
              <w:spacing w:before="61" w:line="229" w:lineRule="auto"/>
              <w:ind w:left="430"/>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项目支出</w:t>
            </w:r>
          </w:p>
        </w:tc>
        <w:tc>
          <w:tcPr>
            <w:tcW w:w="1247" w:type="dxa"/>
            <w:vAlign w:val="top"/>
          </w:tcPr>
          <w:p>
            <w:pPr>
              <w:spacing w:before="189" w:line="266" w:lineRule="auto"/>
              <w:ind w:left="430" w:right="219" w:hanging="20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上缴上级</w:t>
            </w:r>
            <w:r>
              <w:rPr>
                <w:rFonts w:ascii="宋体" w:hAnsi="宋体" w:eastAsia="宋体" w:cs="宋体"/>
                <w:spacing w:val="6"/>
                <w:sz w:val="20"/>
                <w:szCs w:val="20"/>
                <w14:textOutline w14:w="3614" w14:cap="sq" w14:cmpd="sng">
                  <w14:solidFill>
                    <w14:srgbClr w14:val="000000"/>
                  </w14:solidFill>
                  <w14:prstDash w14:val="solid"/>
                  <w14:bevel/>
                </w14:textOutline>
              </w:rPr>
              <w:t>支出</w:t>
            </w:r>
          </w:p>
        </w:tc>
        <w:tc>
          <w:tcPr>
            <w:tcW w:w="1247" w:type="dxa"/>
            <w:vAlign w:val="top"/>
          </w:tcPr>
          <w:p>
            <w:pPr>
              <w:spacing w:before="189" w:line="266" w:lineRule="auto"/>
              <w:ind w:left="231" w:right="218" w:hanging="1"/>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事业单位经营支出</w:t>
            </w:r>
          </w:p>
        </w:tc>
        <w:tc>
          <w:tcPr>
            <w:tcW w:w="1251" w:type="dxa"/>
            <w:vAlign w:val="top"/>
          </w:tcPr>
          <w:p>
            <w:pPr>
              <w:spacing w:before="189" w:line="266" w:lineRule="auto"/>
              <w:ind w:left="230" w:right="120" w:hanging="101"/>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对附属单位</w:t>
            </w:r>
            <w:r>
              <w:rPr>
                <w:rFonts w:ascii="宋体" w:hAnsi="宋体" w:eastAsia="宋体" w:cs="宋体"/>
                <w:spacing w:val="8"/>
                <w:sz w:val="20"/>
                <w:szCs w:val="20"/>
                <w14:textOutline w14:w="3614" w14:cap="sq" w14:cmpd="sng">
                  <w14:solidFill>
                    <w14:srgbClr w14:val="000000"/>
                  </w14:solidFill>
                  <w14:prstDash w14:val="solid"/>
                  <w14:bevel/>
                </w14:textOutline>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51" w:type="dxa"/>
            <w:vAlign w:val="center"/>
          </w:tcPr>
          <w:p>
            <w:pPr>
              <w:spacing w:before="237" w:line="195" w:lineRule="auto"/>
              <w:ind w:left="18" w:leftChars="0"/>
              <w:jc w:val="left"/>
              <w:rPr>
                <w:rFonts w:hint="default" w:ascii="Times New Roman" w:hAnsi="Times New Roman" w:eastAsia="Times New Roman" w:cs="Times New Roman"/>
                <w:b/>
                <w:bCs/>
                <w:spacing w:val="3"/>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208</w:t>
            </w:r>
          </w:p>
        </w:tc>
        <w:tc>
          <w:tcPr>
            <w:tcW w:w="3401" w:type="dxa"/>
            <w:vAlign w:val="center"/>
          </w:tcPr>
          <w:p>
            <w:pPr>
              <w:spacing w:before="62" w:line="227" w:lineRule="auto"/>
              <w:ind w:left="230"/>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pPr>
            <w:r>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t>社会保障和就业支出</w:t>
            </w:r>
          </w:p>
        </w:tc>
        <w:tc>
          <w:tcPr>
            <w:tcW w:w="1700" w:type="dxa"/>
            <w:vAlign w:val="center"/>
          </w:tcPr>
          <w:p>
            <w:pPr>
              <w:keepNext w:val="0"/>
              <w:keepLines w:val="0"/>
              <w:widowControl/>
              <w:suppressLineNumbers w:val="0"/>
              <w:ind w:firstLine="201" w:firstLineChars="100"/>
              <w:jc w:val="right"/>
              <w:textAlignment w:val="center"/>
              <w:rPr>
                <w:rFonts w:hint="default" w:ascii="Times New Roman" w:hAnsi="Times New Roman" w:eastAsia="宋体" w:cs="Times New Roman"/>
                <w:b/>
                <w:bCs/>
                <w:i w:val="0"/>
                <w:snapToGrid w:val="0"/>
                <w:color w:val="000000"/>
                <w:kern w:val="0"/>
                <w:sz w:val="20"/>
                <w:szCs w:val="20"/>
                <w:u w:val="none"/>
                <w:lang w:val="en-US" w:eastAsia="zh-CN" w:bidi="ar"/>
              </w:rPr>
            </w:pPr>
            <w:r>
              <w:rPr>
                <w:rFonts w:hint="default" w:ascii="Times New Roman" w:hAnsi="Times New Roman" w:eastAsia="宋体" w:cs="Times New Roman"/>
                <w:b/>
                <w:bCs/>
                <w:i w:val="0"/>
                <w:snapToGrid w:val="0"/>
                <w:color w:val="000000"/>
                <w:kern w:val="0"/>
                <w:sz w:val="20"/>
                <w:szCs w:val="20"/>
                <w:u w:val="none"/>
                <w:lang w:val="en-US" w:eastAsia="zh-CN" w:bidi="ar"/>
              </w:rPr>
              <w:t>402.22</w:t>
            </w:r>
          </w:p>
        </w:tc>
        <w:tc>
          <w:tcPr>
            <w:tcW w:w="1700" w:type="dxa"/>
            <w:vAlign w:val="center"/>
          </w:tcPr>
          <w:p>
            <w:pPr>
              <w:keepNext w:val="0"/>
              <w:keepLines w:val="0"/>
              <w:widowControl/>
              <w:suppressLineNumbers w:val="0"/>
              <w:ind w:firstLine="201" w:firstLineChars="100"/>
              <w:jc w:val="right"/>
              <w:textAlignment w:val="center"/>
              <w:rPr>
                <w:rFonts w:hint="default" w:ascii="Times New Roman" w:hAnsi="Times New Roman" w:eastAsia="宋体" w:cs="Times New Roman"/>
                <w:b/>
                <w:bCs/>
                <w:i w:val="0"/>
                <w:snapToGrid w:val="0"/>
                <w:color w:val="000000"/>
                <w:kern w:val="0"/>
                <w:sz w:val="20"/>
                <w:szCs w:val="20"/>
                <w:u w:val="none"/>
                <w:lang w:val="en-US" w:eastAsia="zh-CN" w:bidi="ar"/>
              </w:rPr>
            </w:pPr>
            <w:r>
              <w:rPr>
                <w:rFonts w:hint="default" w:ascii="Times New Roman" w:hAnsi="Times New Roman" w:eastAsia="宋体" w:cs="Times New Roman"/>
                <w:b/>
                <w:bCs/>
                <w:i w:val="0"/>
                <w:snapToGrid w:val="0"/>
                <w:color w:val="000000"/>
                <w:kern w:val="0"/>
                <w:sz w:val="20"/>
                <w:szCs w:val="20"/>
                <w:u w:val="none"/>
                <w:lang w:val="en-US" w:eastAsia="zh-CN" w:bidi="ar"/>
              </w:rPr>
              <w:t>402.22</w:t>
            </w:r>
          </w:p>
        </w:tc>
        <w:tc>
          <w:tcPr>
            <w:tcW w:w="1643"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51"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center"/>
          </w:tcPr>
          <w:p>
            <w:pPr>
              <w:keepNext w:val="0"/>
              <w:keepLines w:val="0"/>
              <w:widowControl/>
              <w:suppressLineNumbers w:val="0"/>
              <w:ind w:firstLine="201" w:firstLineChars="100"/>
              <w:jc w:val="lef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20805</w:t>
            </w:r>
          </w:p>
        </w:tc>
        <w:tc>
          <w:tcPr>
            <w:tcW w:w="3401" w:type="dxa"/>
            <w:vAlign w:val="center"/>
          </w:tcPr>
          <w:p>
            <w:pPr>
              <w:spacing w:before="62" w:line="227" w:lineRule="auto"/>
              <w:ind w:left="230"/>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pPr>
            <w:r>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t>行政事业单位养老支出</w:t>
            </w:r>
          </w:p>
        </w:tc>
        <w:tc>
          <w:tcPr>
            <w:tcW w:w="1700" w:type="dxa"/>
            <w:vAlign w:val="center"/>
          </w:tcPr>
          <w:p>
            <w:pPr>
              <w:keepNext w:val="0"/>
              <w:keepLines w:val="0"/>
              <w:widowControl/>
              <w:suppressLineNumbers w:val="0"/>
              <w:ind w:firstLine="201" w:firstLineChars="100"/>
              <w:jc w:val="right"/>
              <w:textAlignment w:val="center"/>
              <w:rPr>
                <w:rFonts w:hint="default" w:ascii="Times New Roman" w:hAnsi="Times New Roman" w:eastAsia="宋体" w:cs="Times New Roman"/>
                <w:b/>
                <w:bCs/>
                <w:i w:val="0"/>
                <w:snapToGrid w:val="0"/>
                <w:color w:val="000000"/>
                <w:kern w:val="0"/>
                <w:sz w:val="20"/>
                <w:szCs w:val="20"/>
                <w:u w:val="none"/>
                <w:lang w:val="en-US" w:eastAsia="zh-CN" w:bidi="ar"/>
              </w:rPr>
            </w:pPr>
            <w:r>
              <w:rPr>
                <w:rFonts w:hint="default" w:ascii="Times New Roman" w:hAnsi="Times New Roman" w:eastAsia="宋体" w:cs="Times New Roman"/>
                <w:b/>
                <w:bCs/>
                <w:i w:val="0"/>
                <w:snapToGrid w:val="0"/>
                <w:color w:val="000000"/>
                <w:kern w:val="0"/>
                <w:sz w:val="20"/>
                <w:szCs w:val="20"/>
                <w:u w:val="none"/>
                <w:lang w:val="en-US" w:eastAsia="zh-CN" w:bidi="ar"/>
              </w:rPr>
              <w:t>402.22</w:t>
            </w:r>
          </w:p>
        </w:tc>
        <w:tc>
          <w:tcPr>
            <w:tcW w:w="1700" w:type="dxa"/>
            <w:vAlign w:val="center"/>
          </w:tcPr>
          <w:p>
            <w:pPr>
              <w:keepNext w:val="0"/>
              <w:keepLines w:val="0"/>
              <w:widowControl/>
              <w:suppressLineNumbers w:val="0"/>
              <w:ind w:firstLine="201" w:firstLineChars="100"/>
              <w:jc w:val="right"/>
              <w:textAlignment w:val="center"/>
              <w:rPr>
                <w:rFonts w:hint="default" w:ascii="Times New Roman" w:hAnsi="Times New Roman" w:eastAsia="宋体" w:cs="Times New Roman"/>
                <w:b/>
                <w:bCs/>
                <w:i w:val="0"/>
                <w:snapToGrid w:val="0"/>
                <w:color w:val="000000"/>
                <w:kern w:val="0"/>
                <w:sz w:val="20"/>
                <w:szCs w:val="20"/>
                <w:u w:val="none"/>
                <w:lang w:val="en-US" w:eastAsia="zh-CN" w:bidi="ar"/>
              </w:rPr>
            </w:pPr>
            <w:r>
              <w:rPr>
                <w:rFonts w:hint="default" w:ascii="Times New Roman" w:hAnsi="Times New Roman" w:eastAsia="宋体" w:cs="Times New Roman"/>
                <w:b/>
                <w:bCs/>
                <w:i w:val="0"/>
                <w:snapToGrid w:val="0"/>
                <w:color w:val="000000"/>
                <w:kern w:val="0"/>
                <w:sz w:val="20"/>
                <w:szCs w:val="20"/>
                <w:u w:val="none"/>
                <w:lang w:val="en-US" w:eastAsia="zh-CN" w:bidi="ar"/>
              </w:rPr>
              <w:t>402.22</w:t>
            </w:r>
          </w:p>
        </w:tc>
        <w:tc>
          <w:tcPr>
            <w:tcW w:w="1643"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jc w:val="left"/>
              <w:rPr>
                <w:rFonts w:ascii="Times New Roman" w:hAnsi="Times New Roman" w:eastAsia="Times New Roman" w:cs="Times New Roman"/>
                <w:b/>
                <w:bCs/>
                <w:spacing w:val="3"/>
                <w:sz w:val="19"/>
                <w:szCs w:val="19"/>
              </w:rPr>
            </w:pPr>
          </w:p>
        </w:tc>
        <w:tc>
          <w:tcPr>
            <w:tcW w:w="1251"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251" w:type="dxa"/>
            <w:vAlign w:val="center"/>
          </w:tcPr>
          <w:p>
            <w:pPr>
              <w:keepNext w:val="0"/>
              <w:keepLines w:val="0"/>
              <w:widowControl/>
              <w:suppressLineNumbers w:val="0"/>
              <w:ind w:firstLine="400" w:firstLineChars="200"/>
              <w:jc w:val="lef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2080505</w:t>
            </w:r>
          </w:p>
        </w:tc>
        <w:tc>
          <w:tcPr>
            <w:tcW w:w="3401" w:type="dxa"/>
            <w:vAlign w:val="center"/>
          </w:tcPr>
          <w:p>
            <w:pPr>
              <w:spacing w:before="203" w:line="228" w:lineRule="auto"/>
              <w:ind w:left="421" w:leftChars="0"/>
              <w:rPr>
                <w:rFonts w:ascii="宋体" w:hAnsi="宋体" w:eastAsia="宋体" w:cs="宋体"/>
                <w:spacing w:val="8"/>
                <w:sz w:val="20"/>
                <w:szCs w:val="20"/>
              </w:rPr>
            </w:pPr>
            <w:r>
              <w:rPr>
                <w:rFonts w:hint="eastAsia" w:ascii="宋体" w:hAnsi="宋体" w:eastAsia="宋体" w:cs="宋体"/>
                <w:spacing w:val="8"/>
                <w:sz w:val="20"/>
                <w:szCs w:val="20"/>
                <w:lang w:val="en-US" w:eastAsia="zh-CN"/>
              </w:rPr>
              <w:t>机关事业单位基本养老保险缴费支出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rPr>
            </w:pPr>
            <w:r>
              <w:rPr>
                <w:rFonts w:hint="default" w:ascii="Times New Roman" w:hAnsi="Times New Roman" w:eastAsia="宋体" w:cs="Times New Roman"/>
                <w:i w:val="0"/>
                <w:snapToGrid w:val="0"/>
                <w:color w:val="000000"/>
                <w:kern w:val="0"/>
                <w:sz w:val="20"/>
                <w:szCs w:val="20"/>
                <w:u w:val="none"/>
                <w:lang w:val="en-US" w:eastAsia="zh-CN" w:bidi="ar"/>
              </w:rPr>
              <w:t>255.44</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rPr>
            </w:pPr>
            <w:r>
              <w:rPr>
                <w:rFonts w:hint="default" w:ascii="Times New Roman" w:hAnsi="Times New Roman" w:eastAsia="宋体" w:cs="Times New Roman"/>
                <w:i w:val="0"/>
                <w:snapToGrid w:val="0"/>
                <w:color w:val="000000"/>
                <w:kern w:val="0"/>
                <w:sz w:val="20"/>
                <w:szCs w:val="20"/>
                <w:u w:val="none"/>
                <w:lang w:val="en-US" w:eastAsia="zh-CN" w:bidi="ar"/>
              </w:rPr>
              <w:t>255.44</w:t>
            </w:r>
          </w:p>
        </w:tc>
        <w:tc>
          <w:tcPr>
            <w:tcW w:w="1643"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51" w:type="dxa"/>
            <w:vAlign w:val="center"/>
          </w:tcPr>
          <w:p>
            <w:pPr>
              <w:jc w:val="right"/>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center"/>
          </w:tcPr>
          <w:p>
            <w:pPr>
              <w:keepNext w:val="0"/>
              <w:keepLines w:val="0"/>
              <w:widowControl/>
              <w:suppressLineNumbers w:val="0"/>
              <w:ind w:firstLine="400" w:firstLineChars="200"/>
              <w:jc w:val="lef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2080506</w:t>
            </w:r>
          </w:p>
        </w:tc>
        <w:tc>
          <w:tcPr>
            <w:tcW w:w="3401" w:type="dxa"/>
            <w:vAlign w:val="center"/>
          </w:tcPr>
          <w:p>
            <w:pPr>
              <w:spacing w:before="203" w:line="228" w:lineRule="auto"/>
              <w:ind w:left="421" w:leftChars="0"/>
              <w:rPr>
                <w:rFonts w:ascii="宋体" w:hAnsi="宋体" w:eastAsia="宋体" w:cs="宋体"/>
                <w:spacing w:val="8"/>
                <w:sz w:val="20"/>
                <w:szCs w:val="20"/>
              </w:rPr>
            </w:pPr>
            <w:r>
              <w:rPr>
                <w:rFonts w:hint="eastAsia" w:ascii="宋体" w:hAnsi="宋体" w:eastAsia="宋体" w:cs="宋体"/>
                <w:spacing w:val="8"/>
                <w:sz w:val="20"/>
                <w:szCs w:val="20"/>
                <w:lang w:val="en-US" w:eastAsia="zh-CN"/>
              </w:rPr>
              <w:t>机关事业单位职业年金缴费支出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rPr>
            </w:pPr>
            <w:r>
              <w:rPr>
                <w:rFonts w:hint="default" w:ascii="Times New Roman" w:hAnsi="Times New Roman" w:eastAsia="宋体" w:cs="Times New Roman"/>
                <w:i w:val="0"/>
                <w:snapToGrid w:val="0"/>
                <w:color w:val="000000"/>
                <w:kern w:val="0"/>
                <w:sz w:val="20"/>
                <w:szCs w:val="20"/>
                <w:u w:val="none"/>
                <w:lang w:val="en-US" w:eastAsia="zh-CN" w:bidi="ar"/>
              </w:rPr>
              <w:t>146.78</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rPr>
            </w:pPr>
            <w:r>
              <w:rPr>
                <w:rFonts w:hint="default" w:ascii="Times New Roman" w:hAnsi="Times New Roman" w:eastAsia="宋体" w:cs="Times New Roman"/>
                <w:i w:val="0"/>
                <w:snapToGrid w:val="0"/>
                <w:color w:val="000000"/>
                <w:kern w:val="0"/>
                <w:sz w:val="20"/>
                <w:szCs w:val="20"/>
                <w:u w:val="none"/>
                <w:lang w:val="en-US" w:eastAsia="zh-CN" w:bidi="ar"/>
              </w:rPr>
              <w:t>146.78</w:t>
            </w:r>
          </w:p>
        </w:tc>
        <w:tc>
          <w:tcPr>
            <w:tcW w:w="1643"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51" w:type="dxa"/>
            <w:vAlign w:val="center"/>
          </w:tcPr>
          <w:p>
            <w:pPr>
              <w:jc w:val="right"/>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center"/>
          </w:tcPr>
          <w:p>
            <w:pPr>
              <w:keepNext w:val="0"/>
              <w:keepLines w:val="0"/>
              <w:widowControl/>
              <w:suppressLineNumbers w:val="0"/>
              <w:jc w:val="lef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210</w:t>
            </w:r>
          </w:p>
        </w:tc>
        <w:tc>
          <w:tcPr>
            <w:tcW w:w="3401" w:type="dxa"/>
            <w:vAlign w:val="center"/>
          </w:tcPr>
          <w:p>
            <w:pPr>
              <w:spacing w:before="62" w:line="227" w:lineRule="auto"/>
              <w:ind w:left="230"/>
              <w:rPr>
                <w:rFonts w:ascii="宋体" w:hAnsi="宋体" w:eastAsia="宋体" w:cs="宋体"/>
                <w:spacing w:val="8"/>
                <w:sz w:val="20"/>
                <w:szCs w:val="20"/>
                <w14:textOutline w14:w="3614" w14:cap="sq" w14:cmpd="sng">
                  <w14:solidFill>
                    <w14:srgbClr w14:val="000000"/>
                  </w14:solidFill>
                  <w14:prstDash w14:val="solid"/>
                  <w14:bevel/>
                </w14:textOutline>
              </w:rPr>
            </w:pPr>
            <w:r>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t>卫生健康支出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b/>
                <w:bCs/>
                <w:i w:val="0"/>
                <w:snapToGrid w:val="0"/>
                <w:color w:val="000000"/>
                <w:kern w:val="0"/>
                <w:sz w:val="20"/>
                <w:szCs w:val="20"/>
                <w:u w:val="none"/>
                <w:lang w:val="en-US" w:eastAsia="zh-CN" w:bidi="ar"/>
              </w:rPr>
              <w:t>498.57</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b/>
                <w:bCs/>
                <w:i w:val="0"/>
                <w:snapToGrid w:val="0"/>
                <w:color w:val="000000"/>
                <w:kern w:val="0"/>
                <w:sz w:val="20"/>
                <w:szCs w:val="20"/>
                <w:u w:val="none"/>
                <w:lang w:val="en-US" w:eastAsia="zh-CN" w:bidi="ar"/>
              </w:rPr>
              <w:t>498.57</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center"/>
          </w:tcPr>
          <w:p>
            <w:pPr>
              <w:keepNext w:val="0"/>
              <w:keepLines w:val="0"/>
              <w:widowControl/>
              <w:suppressLineNumbers w:val="0"/>
              <w:ind w:firstLine="201" w:firstLineChars="100"/>
              <w:jc w:val="lef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21011</w:t>
            </w:r>
          </w:p>
        </w:tc>
        <w:tc>
          <w:tcPr>
            <w:tcW w:w="3401" w:type="dxa"/>
            <w:vAlign w:val="center"/>
          </w:tcPr>
          <w:p>
            <w:pPr>
              <w:spacing w:before="62" w:line="227" w:lineRule="auto"/>
              <w:ind w:left="230"/>
              <w:rPr>
                <w:rFonts w:ascii="宋体" w:hAnsi="宋体" w:eastAsia="宋体" w:cs="宋体"/>
                <w:spacing w:val="8"/>
                <w:sz w:val="20"/>
                <w:szCs w:val="20"/>
                <w14:textOutline w14:w="3614" w14:cap="sq" w14:cmpd="sng">
                  <w14:solidFill>
                    <w14:srgbClr w14:val="000000"/>
                  </w14:solidFill>
                  <w14:prstDash w14:val="solid"/>
                  <w14:bevel/>
                </w14:textOutline>
              </w:rPr>
            </w:pPr>
            <w:r>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t>行政事业单位医疗</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b/>
                <w:bCs/>
                <w:i w:val="0"/>
                <w:snapToGrid w:val="0"/>
                <w:color w:val="000000"/>
                <w:kern w:val="0"/>
                <w:sz w:val="20"/>
                <w:szCs w:val="20"/>
                <w:u w:val="none"/>
                <w:lang w:val="en-US" w:eastAsia="zh-CN" w:bidi="ar"/>
              </w:rPr>
              <w:t>498.57</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b/>
                <w:bCs/>
                <w:i w:val="0"/>
                <w:snapToGrid w:val="0"/>
                <w:color w:val="000000"/>
                <w:kern w:val="0"/>
                <w:sz w:val="20"/>
                <w:szCs w:val="20"/>
                <w:u w:val="none"/>
                <w:lang w:val="en-US" w:eastAsia="zh-CN" w:bidi="ar"/>
              </w:rPr>
              <w:t>498.57</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center"/>
          </w:tcPr>
          <w:p>
            <w:pPr>
              <w:keepNext w:val="0"/>
              <w:keepLines w:val="0"/>
              <w:widowControl/>
              <w:suppressLineNumbers w:val="0"/>
              <w:ind w:firstLine="400" w:firstLineChars="200"/>
              <w:jc w:val="lef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2101101</w:t>
            </w:r>
          </w:p>
        </w:tc>
        <w:tc>
          <w:tcPr>
            <w:tcW w:w="3401" w:type="dxa"/>
            <w:vAlign w:val="center"/>
          </w:tcPr>
          <w:p>
            <w:pPr>
              <w:spacing w:before="203" w:line="228" w:lineRule="auto"/>
              <w:ind w:left="421" w:leftChars="0"/>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行政单位医疗</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403.57</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403.57</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center"/>
          </w:tcPr>
          <w:p>
            <w:pPr>
              <w:keepNext w:val="0"/>
              <w:keepLines w:val="0"/>
              <w:widowControl/>
              <w:suppressLineNumbers w:val="0"/>
              <w:ind w:firstLine="400" w:firstLineChars="200"/>
              <w:jc w:val="lef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2101199</w:t>
            </w:r>
          </w:p>
        </w:tc>
        <w:tc>
          <w:tcPr>
            <w:tcW w:w="3401" w:type="dxa"/>
            <w:vAlign w:val="center"/>
          </w:tcPr>
          <w:p>
            <w:pPr>
              <w:spacing w:before="203" w:line="228" w:lineRule="auto"/>
              <w:ind w:left="421" w:leftChars="0"/>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其他行政事业单位医疗支出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95.00</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95.00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center"/>
          </w:tcPr>
          <w:p>
            <w:pPr>
              <w:keepNext w:val="0"/>
              <w:keepLines w:val="0"/>
              <w:widowControl/>
              <w:suppressLineNumbers w:val="0"/>
              <w:jc w:val="lef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221</w:t>
            </w:r>
          </w:p>
        </w:tc>
        <w:tc>
          <w:tcPr>
            <w:tcW w:w="3401" w:type="dxa"/>
            <w:vAlign w:val="center"/>
          </w:tcPr>
          <w:p>
            <w:pPr>
              <w:spacing w:before="62" w:line="227" w:lineRule="auto"/>
              <w:ind w:left="230"/>
              <w:rPr>
                <w:rFonts w:ascii="宋体" w:hAnsi="宋体" w:eastAsia="宋体" w:cs="宋体"/>
                <w:spacing w:val="8"/>
                <w:sz w:val="20"/>
                <w:szCs w:val="20"/>
                <w14:textOutline w14:w="3614" w14:cap="sq" w14:cmpd="sng">
                  <w14:solidFill>
                    <w14:srgbClr w14:val="000000"/>
                  </w14:solidFill>
                  <w14:prstDash w14:val="solid"/>
                  <w14:bevel/>
                </w14:textOutline>
              </w:rPr>
            </w:pPr>
            <w:r>
              <w:rPr>
                <w:rFonts w:hint="eastAsia" w:ascii="宋体" w:hAnsi="宋体" w:eastAsia="宋体" w:cs="宋体"/>
                <w:spacing w:val="8"/>
                <w:sz w:val="20"/>
                <w:szCs w:val="20"/>
                <w:lang w:val="en-US" w:eastAsia="zh-CN"/>
                <w14:textOutline w14:w="3614" w14:cap="sq" w14:cmpd="sng">
                  <w14:solidFill>
                    <w14:srgbClr w14:val="000000"/>
                  </w14:solidFill>
                  <w14:prstDash w14:val="solid"/>
                  <w14:bevel/>
                </w14:textOutline>
              </w:rPr>
              <w:t>住房保障支出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b/>
                <w:bCs/>
                <w:i w:val="0"/>
                <w:snapToGrid w:val="0"/>
                <w:color w:val="000000"/>
                <w:kern w:val="0"/>
                <w:sz w:val="20"/>
                <w:szCs w:val="20"/>
                <w:u w:val="none"/>
                <w:lang w:val="en-US" w:eastAsia="zh-CN" w:bidi="ar"/>
              </w:rPr>
              <w:t>260.00</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b/>
                <w:bCs/>
                <w:i w:val="0"/>
                <w:snapToGrid w:val="0"/>
                <w:color w:val="000000"/>
                <w:kern w:val="0"/>
                <w:sz w:val="20"/>
                <w:szCs w:val="20"/>
                <w:u w:val="none"/>
                <w:lang w:val="en-US" w:eastAsia="zh-CN" w:bidi="ar"/>
              </w:rPr>
              <w:t>260.00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center"/>
          </w:tcPr>
          <w:p>
            <w:pPr>
              <w:keepNext w:val="0"/>
              <w:keepLines w:val="0"/>
              <w:widowControl/>
              <w:suppressLineNumbers w:val="0"/>
              <w:ind w:firstLine="201" w:firstLineChars="100"/>
              <w:jc w:val="lef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22102</w:t>
            </w:r>
          </w:p>
        </w:tc>
        <w:tc>
          <w:tcPr>
            <w:tcW w:w="3401" w:type="dxa"/>
            <w:vAlign w:val="center"/>
          </w:tcPr>
          <w:p>
            <w:pPr>
              <w:spacing w:before="203" w:line="228" w:lineRule="auto"/>
              <w:ind w:left="421" w:leftChars="0"/>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住房改革支出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260.00</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260.00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251" w:type="dxa"/>
            <w:vAlign w:val="center"/>
          </w:tcPr>
          <w:p>
            <w:pPr>
              <w:keepNext w:val="0"/>
              <w:keepLines w:val="0"/>
              <w:widowControl/>
              <w:suppressLineNumbers w:val="0"/>
              <w:ind w:firstLine="400" w:firstLineChars="200"/>
              <w:jc w:val="lef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2210201</w:t>
            </w:r>
          </w:p>
        </w:tc>
        <w:tc>
          <w:tcPr>
            <w:tcW w:w="3401" w:type="dxa"/>
            <w:vAlign w:val="center"/>
          </w:tcPr>
          <w:p>
            <w:pPr>
              <w:spacing w:before="203" w:line="228" w:lineRule="auto"/>
              <w:ind w:left="421" w:leftChars="0"/>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住房公积金</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260.00</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pacing w:val="3"/>
                <w:sz w:val="19"/>
                <w:szCs w:val="19"/>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260.00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bl>
    <w:p>
      <w:pPr>
        <w:sectPr>
          <w:footerReference r:id="rId11" w:type="default"/>
          <w:pgSz w:w="16838" w:h="11906" w:orient="landscape"/>
          <w:pgMar w:top="720" w:right="720" w:bottom="720" w:left="720" w:header="0" w:footer="646" w:gutter="0"/>
          <w:pgNumType w:fmt="decimal"/>
          <w:cols w:space="720" w:num="1"/>
        </w:sectPr>
      </w:pPr>
    </w:p>
    <w:p>
      <w:pPr>
        <w:pStyle w:val="3"/>
        <w:rPr>
          <w:rFonts w:hint="eastAsia" w:eastAsia="宋体"/>
          <w:lang w:val="en-US" w:eastAsia="zh-CN"/>
        </w:rPr>
      </w:pPr>
    </w:p>
    <w:p>
      <w:pPr>
        <w:pStyle w:val="3"/>
        <w:rPr>
          <w:rFonts w:hint="eastAsia" w:eastAsia="宋体"/>
          <w:lang w:val="en-US" w:eastAsia="zh-CN"/>
        </w:rPr>
      </w:pPr>
    </w:p>
    <w:p>
      <w:pPr>
        <w:pStyle w:val="3"/>
        <w:rPr>
          <w:rFonts w:hint="eastAsia" w:eastAsia="宋体"/>
          <w:lang w:val="en-US" w:eastAsia="zh-CN"/>
        </w:rPr>
      </w:pPr>
    </w:p>
    <w:p>
      <w:pPr>
        <w:pStyle w:val="3"/>
        <w:rPr>
          <w:rFonts w:hint="eastAsia" w:eastAsia="宋体"/>
          <w:lang w:val="en-US" w:eastAsia="zh-CN"/>
        </w:rPr>
      </w:pPr>
      <w:r>
        <w:rPr>
          <w:rFonts w:hint="eastAsia" w:eastAsia="宋体"/>
          <w:lang w:val="en-US" w:eastAsia="zh-CN"/>
        </w:rPr>
        <w:t xml:space="preserve"> </w:t>
      </w:r>
    </w:p>
    <w:tbl>
      <w:tblPr>
        <w:tblStyle w:val="8"/>
        <w:tblpPr w:leftFromText="180" w:rightFromText="180" w:vertAnchor="text" w:horzAnchor="page" w:tblpX="1533" w:tblpY="216"/>
        <w:tblOverlap w:val="never"/>
        <w:tblW w:w="134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3401"/>
        <w:gridCol w:w="1700"/>
        <w:gridCol w:w="1700"/>
        <w:gridCol w:w="1643"/>
        <w:gridCol w:w="1247"/>
        <w:gridCol w:w="1247"/>
        <w:gridCol w:w="12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1251" w:type="dxa"/>
            <w:vAlign w:val="top"/>
          </w:tcPr>
          <w:p>
            <w:pPr>
              <w:spacing w:line="284" w:lineRule="auto"/>
              <w:rPr>
                <w:rFonts w:ascii="Arial"/>
                <w:sz w:val="20"/>
                <w:szCs w:val="20"/>
              </w:rPr>
            </w:pPr>
          </w:p>
          <w:p>
            <w:pPr>
              <w:spacing w:before="62" w:line="227" w:lineRule="auto"/>
              <w:ind w:left="23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科目编码</w:t>
            </w:r>
          </w:p>
        </w:tc>
        <w:tc>
          <w:tcPr>
            <w:tcW w:w="3401" w:type="dxa"/>
            <w:vAlign w:val="top"/>
          </w:tcPr>
          <w:p>
            <w:pPr>
              <w:spacing w:line="284" w:lineRule="auto"/>
              <w:rPr>
                <w:rFonts w:ascii="Arial"/>
                <w:sz w:val="20"/>
                <w:szCs w:val="20"/>
              </w:rPr>
            </w:pPr>
          </w:p>
          <w:p>
            <w:pPr>
              <w:spacing w:before="62" w:line="227" w:lineRule="auto"/>
              <w:ind w:left="1305"/>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科目名称</w:t>
            </w:r>
          </w:p>
        </w:tc>
        <w:tc>
          <w:tcPr>
            <w:tcW w:w="1700" w:type="dxa"/>
            <w:vAlign w:val="top"/>
          </w:tcPr>
          <w:p>
            <w:pPr>
              <w:spacing w:line="283" w:lineRule="auto"/>
              <w:rPr>
                <w:rFonts w:ascii="Arial"/>
                <w:sz w:val="20"/>
                <w:szCs w:val="20"/>
              </w:rPr>
            </w:pPr>
          </w:p>
          <w:p>
            <w:pPr>
              <w:spacing w:before="62" w:line="230" w:lineRule="auto"/>
              <w:ind w:left="655"/>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合计</w:t>
            </w:r>
          </w:p>
        </w:tc>
        <w:tc>
          <w:tcPr>
            <w:tcW w:w="1700" w:type="dxa"/>
            <w:vAlign w:val="top"/>
          </w:tcPr>
          <w:p>
            <w:pPr>
              <w:spacing w:line="284" w:lineRule="auto"/>
              <w:rPr>
                <w:rFonts w:ascii="Arial"/>
                <w:sz w:val="20"/>
                <w:szCs w:val="20"/>
              </w:rPr>
            </w:pPr>
          </w:p>
          <w:p>
            <w:pPr>
              <w:spacing w:before="62" w:line="227" w:lineRule="auto"/>
              <w:ind w:left="454"/>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基本支出</w:t>
            </w:r>
          </w:p>
        </w:tc>
        <w:tc>
          <w:tcPr>
            <w:tcW w:w="1643" w:type="dxa"/>
            <w:vAlign w:val="top"/>
          </w:tcPr>
          <w:p>
            <w:pPr>
              <w:spacing w:line="283" w:lineRule="auto"/>
              <w:rPr>
                <w:rFonts w:ascii="Arial"/>
                <w:sz w:val="20"/>
                <w:szCs w:val="20"/>
              </w:rPr>
            </w:pPr>
          </w:p>
          <w:p>
            <w:pPr>
              <w:spacing w:before="62" w:line="229" w:lineRule="auto"/>
              <w:ind w:left="430"/>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项目支出</w:t>
            </w:r>
          </w:p>
        </w:tc>
        <w:tc>
          <w:tcPr>
            <w:tcW w:w="1247" w:type="dxa"/>
            <w:vAlign w:val="top"/>
          </w:tcPr>
          <w:p>
            <w:pPr>
              <w:spacing w:before="191" w:line="266" w:lineRule="auto"/>
              <w:ind w:left="430" w:right="219" w:hanging="20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上缴上级</w:t>
            </w:r>
            <w:r>
              <w:rPr>
                <w:rFonts w:ascii="宋体" w:hAnsi="宋体" w:eastAsia="宋体" w:cs="宋体"/>
                <w:spacing w:val="6"/>
                <w:sz w:val="20"/>
                <w:szCs w:val="20"/>
                <w14:textOutline w14:w="3614" w14:cap="sq" w14:cmpd="sng">
                  <w14:solidFill>
                    <w14:srgbClr w14:val="000000"/>
                  </w14:solidFill>
                  <w14:prstDash w14:val="solid"/>
                  <w14:bevel/>
                </w14:textOutline>
              </w:rPr>
              <w:t>支出</w:t>
            </w:r>
          </w:p>
        </w:tc>
        <w:tc>
          <w:tcPr>
            <w:tcW w:w="1247" w:type="dxa"/>
            <w:vAlign w:val="top"/>
          </w:tcPr>
          <w:p>
            <w:pPr>
              <w:spacing w:before="191" w:line="266" w:lineRule="auto"/>
              <w:ind w:left="231" w:right="218" w:hanging="1"/>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事业单位</w:t>
            </w:r>
            <w:r>
              <w:rPr>
                <w:rFonts w:ascii="宋体" w:hAnsi="宋体" w:eastAsia="宋体" w:cs="宋体"/>
                <w:sz w:val="20"/>
                <w:szCs w:val="20"/>
              </w:rPr>
              <w:t xml:space="preserve"> </w:t>
            </w:r>
            <w:r>
              <w:rPr>
                <w:rFonts w:ascii="宋体" w:hAnsi="宋体" w:eastAsia="宋体" w:cs="宋体"/>
                <w:spacing w:val="8"/>
                <w:sz w:val="20"/>
                <w:szCs w:val="20"/>
                <w14:textOutline w14:w="3614" w14:cap="sq" w14:cmpd="sng">
                  <w14:solidFill>
                    <w14:srgbClr w14:val="000000"/>
                  </w14:solidFill>
                  <w14:prstDash w14:val="solid"/>
                  <w14:bevel/>
                </w14:textOutline>
              </w:rPr>
              <w:t>经营支出</w:t>
            </w:r>
          </w:p>
        </w:tc>
        <w:tc>
          <w:tcPr>
            <w:tcW w:w="1251" w:type="dxa"/>
            <w:vAlign w:val="top"/>
          </w:tcPr>
          <w:p>
            <w:pPr>
              <w:spacing w:before="191" w:line="266" w:lineRule="auto"/>
              <w:ind w:left="230" w:right="120" w:hanging="101"/>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对附属单位</w:t>
            </w:r>
            <w:r>
              <w:rPr>
                <w:rFonts w:ascii="宋体" w:hAnsi="宋体" w:eastAsia="宋体" w:cs="宋体"/>
                <w:sz w:val="20"/>
                <w:szCs w:val="20"/>
              </w:rPr>
              <w:t xml:space="preserve"> </w:t>
            </w:r>
            <w:r>
              <w:rPr>
                <w:rFonts w:ascii="宋体" w:hAnsi="宋体" w:eastAsia="宋体" w:cs="宋体"/>
                <w:spacing w:val="8"/>
                <w:sz w:val="20"/>
                <w:szCs w:val="20"/>
                <w14:textOutline w14:w="3614" w14:cap="sq" w14:cmpd="sng">
                  <w14:solidFill>
                    <w14:srgbClr w14:val="000000"/>
                  </w14:solidFill>
                  <w14:prstDash w14:val="solid"/>
                  <w14:bevel/>
                </w14:textOutline>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7" w:line="195" w:lineRule="auto"/>
              <w:ind w:left="18" w:leftChars="0"/>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224</w:t>
            </w:r>
          </w:p>
        </w:tc>
        <w:tc>
          <w:tcPr>
            <w:tcW w:w="3401" w:type="dxa"/>
            <w:vAlign w:val="top"/>
          </w:tcPr>
          <w:p>
            <w:pPr>
              <w:spacing w:before="202" w:line="228" w:lineRule="auto"/>
              <w:ind w:left="23" w:leftChars="0"/>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灾害防治及应急管理支出</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2,405.77</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2,344.21</w:t>
            </w:r>
          </w:p>
        </w:tc>
        <w:tc>
          <w:tcPr>
            <w:tcW w:w="1643"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2,169.60</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174.61</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61.56</w:t>
            </w:r>
          </w:p>
        </w:tc>
        <w:tc>
          <w:tcPr>
            <w:tcW w:w="1251"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2,405.77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8" w:line="195" w:lineRule="auto"/>
              <w:ind w:left="220" w:leftChars="0"/>
              <w:rPr>
                <w:rFonts w:ascii="Times New Roman" w:hAnsi="Times New Roman" w:eastAsia="Times New Roman" w:cs="Times New Roman"/>
                <w:sz w:val="20"/>
                <w:szCs w:val="20"/>
              </w:rPr>
            </w:pPr>
            <w:r>
              <w:rPr>
                <w:rFonts w:ascii="Times New Roman" w:hAnsi="Times New Roman" w:eastAsia="Times New Roman" w:cs="Times New Roman"/>
                <w:b/>
                <w:bCs/>
                <w:spacing w:val="4"/>
                <w:sz w:val="20"/>
                <w:szCs w:val="20"/>
              </w:rPr>
              <w:t>22402</w:t>
            </w:r>
          </w:p>
        </w:tc>
        <w:tc>
          <w:tcPr>
            <w:tcW w:w="3401" w:type="dxa"/>
            <w:vAlign w:val="top"/>
          </w:tcPr>
          <w:p>
            <w:pPr>
              <w:spacing w:before="203" w:line="228" w:lineRule="auto"/>
              <w:ind w:left="222" w:leftChars="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消防救援事务</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2,405.77</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2,344.21</w:t>
            </w:r>
          </w:p>
        </w:tc>
        <w:tc>
          <w:tcPr>
            <w:tcW w:w="1643"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2,169.60</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174.61</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61.56</w:t>
            </w:r>
          </w:p>
        </w:tc>
        <w:tc>
          <w:tcPr>
            <w:tcW w:w="1251"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2,405.77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51" w:type="dxa"/>
            <w:vAlign w:val="top"/>
          </w:tcPr>
          <w:p>
            <w:pPr>
              <w:spacing w:before="238" w:line="195" w:lineRule="auto"/>
              <w:ind w:left="419" w:leftChars="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2240201</w:t>
            </w:r>
          </w:p>
        </w:tc>
        <w:tc>
          <w:tcPr>
            <w:tcW w:w="3401" w:type="dxa"/>
            <w:vAlign w:val="top"/>
          </w:tcPr>
          <w:p>
            <w:pPr>
              <w:spacing w:before="203" w:line="228" w:lineRule="auto"/>
              <w:ind w:left="421" w:leftChars="0"/>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行政运行</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2,344.21</w:t>
            </w:r>
          </w:p>
        </w:tc>
        <w:tc>
          <w:tcPr>
            <w:tcW w:w="1700" w:type="dxa"/>
            <w:vAlign w:val="center"/>
          </w:tcPr>
          <w:p>
            <w:pPr>
              <w:keepNext w:val="0"/>
              <w:keepLines w:val="0"/>
              <w:widowControl/>
              <w:suppressLineNumbers w:val="0"/>
              <w:jc w:val="right"/>
              <w:textAlignment w:val="center"/>
              <w:rPr>
                <w:rFonts w:hint="default" w:ascii="Times New Roman" w:hAnsi="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2,344.21</w:t>
            </w:r>
          </w:p>
        </w:tc>
        <w:tc>
          <w:tcPr>
            <w:tcW w:w="1643" w:type="dxa"/>
            <w:vAlign w:val="center"/>
          </w:tcPr>
          <w:p>
            <w:pPr>
              <w:keepNext w:val="0"/>
              <w:keepLines w:val="0"/>
              <w:widowControl/>
              <w:suppressLineNumbers w:val="0"/>
              <w:jc w:val="righ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2,169.60</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174.61</w:t>
            </w:r>
          </w:p>
        </w:tc>
        <w:tc>
          <w:tcPr>
            <w:tcW w:w="1247" w:type="dxa"/>
            <w:vAlign w:val="center"/>
          </w:tcPr>
          <w:p>
            <w:pPr>
              <w:jc w:val="right"/>
              <w:rPr>
                <w:rFonts w:hint="default" w:ascii="Times New Roman" w:hAnsi="Times New Roman" w:cs="Times New Roman"/>
                <w:sz w:val="20"/>
                <w:szCs w:val="20"/>
              </w:rPr>
            </w:pPr>
          </w:p>
        </w:tc>
        <w:tc>
          <w:tcPr>
            <w:tcW w:w="1251" w:type="dxa"/>
            <w:vAlign w:val="center"/>
          </w:tcPr>
          <w:p>
            <w:pPr>
              <w:keepNext w:val="0"/>
              <w:keepLines w:val="0"/>
              <w:widowControl/>
              <w:suppressLineNumbers w:val="0"/>
              <w:jc w:val="right"/>
              <w:textAlignment w:val="center"/>
              <w:rPr>
                <w:rFonts w:hint="default" w:ascii="Times New Roman" w:hAnsi="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2,344.21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8" w:line="195" w:lineRule="auto"/>
              <w:ind w:left="419" w:leftChars="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2240204</w:t>
            </w:r>
          </w:p>
        </w:tc>
        <w:tc>
          <w:tcPr>
            <w:tcW w:w="3401" w:type="dxa"/>
            <w:vAlign w:val="top"/>
          </w:tcPr>
          <w:p>
            <w:pPr>
              <w:spacing w:before="203" w:line="228" w:lineRule="auto"/>
              <w:ind w:left="421" w:leftChars="0"/>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消防应急救援</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61.56</w:t>
            </w:r>
          </w:p>
        </w:tc>
        <w:tc>
          <w:tcPr>
            <w:tcW w:w="1700" w:type="dxa"/>
            <w:vAlign w:val="center"/>
          </w:tcPr>
          <w:p>
            <w:pPr>
              <w:jc w:val="right"/>
              <w:rPr>
                <w:rFonts w:hint="default" w:ascii="Times New Roman" w:hAnsi="Times New Roman" w:cs="Times New Roman"/>
                <w:sz w:val="20"/>
                <w:szCs w:val="20"/>
              </w:rPr>
            </w:pPr>
          </w:p>
        </w:tc>
        <w:tc>
          <w:tcPr>
            <w:tcW w:w="1643" w:type="dxa"/>
            <w:vAlign w:val="center"/>
          </w:tcPr>
          <w:p>
            <w:pPr>
              <w:jc w:val="right"/>
              <w:rPr>
                <w:rFonts w:hint="default" w:ascii="Times New Roman" w:hAnsi="Times New Roman" w:eastAsia="Times New Roman" w:cs="Times New Roman"/>
                <w:sz w:val="20"/>
                <w:szCs w:val="20"/>
              </w:rPr>
            </w:pPr>
          </w:p>
        </w:tc>
        <w:tc>
          <w:tcPr>
            <w:tcW w:w="1247" w:type="dxa"/>
            <w:vAlign w:val="center"/>
          </w:tcPr>
          <w:p>
            <w:pPr>
              <w:jc w:val="right"/>
              <w:rPr>
                <w:rFonts w:hint="default" w:ascii="Times New Roman" w:hAnsi="Times New Roman" w:cs="Times New Roman"/>
                <w:sz w:val="20"/>
                <w:szCs w:val="20"/>
              </w:rPr>
            </w:pPr>
          </w:p>
        </w:tc>
        <w:tc>
          <w:tcPr>
            <w:tcW w:w="1247" w:type="dxa"/>
            <w:vAlign w:val="center"/>
          </w:tcPr>
          <w:p>
            <w:pPr>
              <w:keepNext w:val="0"/>
              <w:keepLines w:val="0"/>
              <w:widowControl/>
              <w:suppressLineNumbers w:val="0"/>
              <w:jc w:val="right"/>
              <w:textAlignment w:val="center"/>
              <w:rPr>
                <w:rFonts w:hint="default" w:ascii="Times New Roman" w:hAnsi="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61.56</w:t>
            </w:r>
          </w:p>
        </w:tc>
        <w:tc>
          <w:tcPr>
            <w:tcW w:w="1251" w:type="dxa"/>
            <w:vAlign w:val="center"/>
          </w:tcPr>
          <w:p>
            <w:pPr>
              <w:keepNext w:val="0"/>
              <w:keepLines w:val="0"/>
              <w:widowControl/>
              <w:suppressLineNumbers w:val="0"/>
              <w:jc w:val="right"/>
              <w:textAlignment w:val="center"/>
              <w:rPr>
                <w:rFonts w:hint="default" w:ascii="Times New Roman" w:hAnsi="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4652" w:type="dxa"/>
            <w:gridSpan w:val="2"/>
            <w:vAlign w:val="top"/>
          </w:tcPr>
          <w:p>
            <w:pPr>
              <w:spacing w:before="203" w:line="230" w:lineRule="auto"/>
              <w:ind w:left="2031" w:leftChars="0"/>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合</w:t>
            </w:r>
            <w:r>
              <w:rPr>
                <w:rFonts w:ascii="宋体" w:hAnsi="宋体" w:eastAsia="宋体" w:cs="宋体"/>
                <w:spacing w:val="10"/>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计</w:t>
            </w:r>
          </w:p>
        </w:tc>
        <w:tc>
          <w:tcPr>
            <w:tcW w:w="1700"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2,405.77</w:t>
            </w:r>
          </w:p>
        </w:tc>
        <w:tc>
          <w:tcPr>
            <w:tcW w:w="1700"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2,344.21</w:t>
            </w:r>
          </w:p>
        </w:tc>
        <w:tc>
          <w:tcPr>
            <w:tcW w:w="1643" w:type="dxa"/>
            <w:vAlign w:val="center"/>
          </w:tcPr>
          <w:p>
            <w:pPr>
              <w:keepNext w:val="0"/>
              <w:keepLines w:val="0"/>
              <w:widowControl/>
              <w:suppressLineNumbers w:val="0"/>
              <w:jc w:val="right"/>
              <w:textAlignment w:val="center"/>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2,169.60</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174.61</w:t>
            </w:r>
          </w:p>
        </w:tc>
        <w:tc>
          <w:tcPr>
            <w:tcW w:w="1247"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61.56</w:t>
            </w:r>
          </w:p>
        </w:tc>
        <w:tc>
          <w:tcPr>
            <w:tcW w:w="1251" w:type="dxa"/>
            <w:vAlign w:val="center"/>
          </w:tcPr>
          <w:p>
            <w:pPr>
              <w:keepNext w:val="0"/>
              <w:keepLines w:val="0"/>
              <w:widowControl/>
              <w:suppressLineNumbers w:val="0"/>
              <w:jc w:val="right"/>
              <w:textAlignment w:val="center"/>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2,405.77</w:t>
            </w:r>
          </w:p>
        </w:tc>
      </w:tr>
    </w:tbl>
    <w:p>
      <w:pPr>
        <w:pStyle w:val="3"/>
        <w:rPr>
          <w:rFonts w:hint="eastAsia" w:eastAsia="宋体"/>
          <w:lang w:val="en-US" w:eastAsia="zh-CN"/>
        </w:rPr>
      </w:pPr>
    </w:p>
    <w:p>
      <w:pPr>
        <w:spacing w:before="55"/>
      </w:pPr>
    </w:p>
    <w:p>
      <w:pPr>
        <w:pStyle w:val="3"/>
      </w:pPr>
    </w:p>
    <w:p>
      <w:pPr>
        <w:sectPr>
          <w:footerReference r:id="rId12" w:type="default"/>
          <w:pgSz w:w="16838" w:h="11906" w:orient="landscape"/>
          <w:pgMar w:top="720" w:right="720" w:bottom="720" w:left="720" w:header="0" w:footer="646" w:gutter="0"/>
          <w:pgNumType w:fmt="decimal"/>
          <w:cols w:space="720" w:num="1"/>
        </w:sectPr>
      </w:pPr>
    </w:p>
    <w:p>
      <w:pPr>
        <w:spacing w:before="62" w:line="228" w:lineRule="auto"/>
        <w:ind w:right="20"/>
        <w:jc w:val="center"/>
        <w:rPr>
          <w:rFonts w:hint="eastAsia" w:ascii="宋体" w:hAnsi="宋体" w:eastAsia="宋体" w:cs="宋体"/>
          <w:spacing w:val="6"/>
          <w:sz w:val="19"/>
          <w:szCs w:val="19"/>
          <w:lang w:val="en-US" w:eastAsia="zh-CN"/>
        </w:rPr>
      </w:pPr>
      <w:r>
        <w:rPr>
          <w:rFonts w:hint="eastAsia" w:ascii="宋体" w:hAnsi="宋体" w:eastAsia="宋体" w:cs="宋体"/>
          <w:spacing w:val="6"/>
          <w:sz w:val="19"/>
          <w:szCs w:val="19"/>
          <w:lang w:val="en-US" w:eastAsia="zh-CN"/>
        </w:rPr>
        <w:t xml:space="preserve">       </w:t>
      </w:r>
      <w:r>
        <w:rPr>
          <w:rFonts w:ascii="微软雅黑" w:hAnsi="微软雅黑" w:eastAsia="微软雅黑" w:cs="微软雅黑"/>
          <w:spacing w:val="9"/>
          <w:sz w:val="31"/>
          <w:szCs w:val="31"/>
        </w:rPr>
        <w:t>财政拨款收支总</w:t>
      </w:r>
      <w:r>
        <w:rPr>
          <w:rFonts w:hint="eastAsia" w:ascii="微软雅黑" w:hAnsi="微软雅黑" w:eastAsia="微软雅黑" w:cs="微软雅黑"/>
          <w:spacing w:val="9"/>
          <w:sz w:val="31"/>
          <w:szCs w:val="31"/>
          <w:lang w:val="en-US" w:eastAsia="zh-CN"/>
        </w:rPr>
        <w:t>表</w:t>
      </w:r>
      <w:r>
        <w:rPr>
          <w:rFonts w:hint="eastAsia" w:ascii="微软雅黑" w:hAnsi="微软雅黑" w:eastAsia="微软雅黑" w:cs="微软雅黑"/>
          <w:spacing w:val="9"/>
          <w:sz w:val="31"/>
          <w:szCs w:val="31"/>
          <w:lang w:eastAsia="zh-CN"/>
        </w:rPr>
        <w:t xml:space="preserve"> </w:t>
      </w:r>
      <w:r>
        <w:rPr>
          <w:rFonts w:hint="default" w:ascii="微软雅黑" w:hAnsi="微软雅黑" w:eastAsia="微软雅黑" w:cs="微软雅黑"/>
          <w:spacing w:val="9"/>
          <w:sz w:val="31"/>
          <w:szCs w:val="31"/>
          <w:lang w:val="en-US" w:eastAsia="zh-CN"/>
        </w:rPr>
        <w:t xml:space="preserve">  </w:t>
      </w:r>
      <w:r>
        <w:rPr>
          <w:rFonts w:hint="eastAsia" w:ascii="宋体" w:hAnsi="宋体" w:eastAsia="宋体" w:cs="宋体"/>
          <w:spacing w:val="6"/>
          <w:sz w:val="19"/>
          <w:szCs w:val="19"/>
          <w:lang w:val="en-US" w:eastAsia="zh-CN"/>
        </w:rPr>
        <w:t xml:space="preserve"> </w:t>
      </w:r>
    </w:p>
    <w:p>
      <w:pPr>
        <w:spacing w:before="62" w:line="228" w:lineRule="auto"/>
        <w:ind w:right="20"/>
        <w:jc w:val="center"/>
        <w:rPr>
          <w:rFonts w:ascii="Times New Roman" w:hAnsi="Times New Roman" w:eastAsia="Times New Roman" w:cs="Times New Roman"/>
          <w:spacing w:val="6"/>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9"/>
          <w:sz w:val="19"/>
          <w:szCs w:val="19"/>
        </w:rPr>
        <w:t xml:space="preserve"> </w:t>
      </w:r>
      <w:r>
        <w:rPr>
          <w:rFonts w:ascii="Times New Roman" w:hAnsi="Times New Roman" w:eastAsia="Times New Roman" w:cs="Times New Roman"/>
          <w:spacing w:val="6"/>
          <w:sz w:val="19"/>
          <w:szCs w:val="19"/>
        </w:rPr>
        <w:t>4</w:t>
      </w:r>
    </w:p>
    <w:p>
      <w:pPr>
        <w:pStyle w:val="2"/>
        <w:jc w:val="cente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tbl>
      <w:tblPr>
        <w:tblStyle w:val="8"/>
        <w:tblpPr w:leftFromText="180" w:rightFromText="180" w:vertAnchor="text" w:horzAnchor="page" w:tblpX="1760" w:tblpY="52"/>
        <w:tblOverlap w:val="never"/>
        <w:tblW w:w="134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7"/>
        <w:gridCol w:w="2030"/>
        <w:gridCol w:w="4633"/>
        <w:gridCol w:w="23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6527" w:type="dxa"/>
            <w:gridSpan w:val="2"/>
            <w:vAlign w:val="top"/>
          </w:tcPr>
          <w:p>
            <w:pPr>
              <w:spacing w:before="177" w:line="228" w:lineRule="auto"/>
              <w:ind w:left="2777"/>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收</w:t>
            </w:r>
            <w:r>
              <w:rPr>
                <w:rFonts w:ascii="宋体" w:hAnsi="宋体" w:eastAsia="宋体" w:cs="宋体"/>
                <w:spacing w:val="6"/>
                <w:sz w:val="20"/>
                <w:szCs w:val="20"/>
              </w:rPr>
              <w:t xml:space="preserve">      </w:t>
            </w:r>
            <w:r>
              <w:rPr>
                <w:rFonts w:ascii="宋体" w:hAnsi="宋体" w:eastAsia="宋体" w:cs="宋体"/>
                <w:spacing w:val="-2"/>
                <w:sz w:val="20"/>
                <w:szCs w:val="20"/>
                <w14:textOutline w14:w="3614" w14:cap="sq" w14:cmpd="sng">
                  <w14:solidFill>
                    <w14:srgbClr w14:val="000000"/>
                  </w14:solidFill>
                  <w14:prstDash w14:val="solid"/>
                  <w14:bevel/>
                </w14:textOutline>
              </w:rPr>
              <w:t>入</w:t>
            </w:r>
          </w:p>
        </w:tc>
        <w:tc>
          <w:tcPr>
            <w:tcW w:w="6944" w:type="dxa"/>
            <w:gridSpan w:val="2"/>
            <w:vAlign w:val="top"/>
          </w:tcPr>
          <w:p>
            <w:pPr>
              <w:spacing w:before="177" w:line="229" w:lineRule="auto"/>
              <w:ind w:left="2976"/>
              <w:rPr>
                <w:rFonts w:ascii="宋体" w:hAnsi="宋体" w:eastAsia="宋体" w:cs="宋体"/>
                <w:sz w:val="20"/>
                <w:szCs w:val="20"/>
              </w:rPr>
            </w:pPr>
            <w:r>
              <w:rPr>
                <w:rFonts w:ascii="宋体" w:hAnsi="宋体" w:eastAsia="宋体" w:cs="宋体"/>
                <w:sz w:val="20"/>
                <w:szCs w:val="20"/>
                <w14:textOutline w14:w="3614" w14:cap="sq" w14:cmpd="sng">
                  <w14:solidFill>
                    <w14:srgbClr w14:val="000000"/>
                  </w14:solidFill>
                  <w14:prstDash w14:val="solid"/>
                  <w14:bevel/>
                </w14:textOutline>
              </w:rPr>
              <w:t>支</w:t>
            </w:r>
            <w:r>
              <w:rPr>
                <w:rFonts w:ascii="宋体" w:hAnsi="宋体" w:eastAsia="宋体" w:cs="宋体"/>
                <w:spacing w:val="9"/>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4497" w:type="dxa"/>
            <w:vAlign w:val="top"/>
          </w:tcPr>
          <w:p>
            <w:pPr>
              <w:spacing w:before="173" w:line="229" w:lineRule="auto"/>
              <w:ind w:left="2058"/>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项目</w:t>
            </w:r>
          </w:p>
        </w:tc>
        <w:tc>
          <w:tcPr>
            <w:tcW w:w="2030" w:type="dxa"/>
            <w:vAlign w:val="top"/>
          </w:tcPr>
          <w:p>
            <w:pPr>
              <w:spacing w:before="174" w:line="228" w:lineRule="auto"/>
              <w:ind w:left="720"/>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预算数</w:t>
            </w:r>
          </w:p>
        </w:tc>
        <w:tc>
          <w:tcPr>
            <w:tcW w:w="4633" w:type="dxa"/>
            <w:vAlign w:val="top"/>
          </w:tcPr>
          <w:p>
            <w:pPr>
              <w:spacing w:before="173" w:line="229" w:lineRule="auto"/>
              <w:ind w:left="2126"/>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项目</w:t>
            </w:r>
          </w:p>
        </w:tc>
        <w:tc>
          <w:tcPr>
            <w:tcW w:w="2311" w:type="dxa"/>
            <w:vAlign w:val="top"/>
          </w:tcPr>
          <w:p>
            <w:pPr>
              <w:spacing w:before="174" w:line="228" w:lineRule="auto"/>
              <w:ind w:left="861"/>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4497" w:type="dxa"/>
            <w:vAlign w:val="top"/>
          </w:tcPr>
          <w:p>
            <w:pPr>
              <w:spacing w:before="132" w:line="227" w:lineRule="auto"/>
              <w:ind w:left="25"/>
              <w:rPr>
                <w:rFonts w:ascii="宋体" w:hAnsi="宋体" w:eastAsia="宋体" w:cs="宋体"/>
                <w:sz w:val="20"/>
                <w:szCs w:val="20"/>
              </w:rPr>
            </w:pPr>
            <w:r>
              <w:rPr>
                <w:rFonts w:ascii="宋体" w:hAnsi="宋体" w:eastAsia="宋体" w:cs="宋体"/>
                <w:spacing w:val="8"/>
                <w:sz w:val="20"/>
                <w:szCs w:val="20"/>
              </w:rPr>
              <w:t>一、本年收入</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3,566.56</w:t>
            </w:r>
          </w:p>
        </w:tc>
        <w:tc>
          <w:tcPr>
            <w:tcW w:w="4633" w:type="dxa"/>
            <w:vAlign w:val="top"/>
          </w:tcPr>
          <w:p>
            <w:pPr>
              <w:spacing w:before="132" w:line="227" w:lineRule="auto"/>
              <w:ind w:left="24"/>
              <w:rPr>
                <w:rFonts w:ascii="宋体" w:hAnsi="宋体" w:eastAsia="宋体" w:cs="宋体"/>
                <w:sz w:val="20"/>
                <w:szCs w:val="20"/>
              </w:rPr>
            </w:pPr>
            <w:r>
              <w:rPr>
                <w:rFonts w:ascii="宋体" w:hAnsi="宋体" w:eastAsia="宋体" w:cs="宋体"/>
                <w:spacing w:val="8"/>
                <w:sz w:val="20"/>
                <w:szCs w:val="20"/>
              </w:rPr>
              <w:t>一、本年支出</w:t>
            </w: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6,681.20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497" w:type="dxa"/>
            <w:vAlign w:val="top"/>
          </w:tcPr>
          <w:p>
            <w:pPr>
              <w:spacing w:before="131" w:line="228" w:lineRule="auto"/>
              <w:ind w:left="32"/>
              <w:rPr>
                <w:rFonts w:ascii="宋体" w:hAnsi="宋体" w:eastAsia="宋体" w:cs="宋体"/>
                <w:sz w:val="20"/>
                <w:szCs w:val="20"/>
              </w:rPr>
            </w:pPr>
            <w:r>
              <w:rPr>
                <w:rFonts w:ascii="宋体" w:hAnsi="宋体" w:eastAsia="宋体" w:cs="宋体"/>
                <w:spacing w:val="8"/>
                <w:sz w:val="20"/>
                <w:szCs w:val="20"/>
              </w:rPr>
              <w:t>（一）一般公共预算拨款</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3,566.56</w:t>
            </w:r>
          </w:p>
        </w:tc>
        <w:tc>
          <w:tcPr>
            <w:tcW w:w="4633" w:type="dxa"/>
            <w:vAlign w:val="top"/>
          </w:tcPr>
          <w:p>
            <w:pPr>
              <w:spacing w:before="132" w:line="227" w:lineRule="auto"/>
              <w:ind w:left="31"/>
              <w:rPr>
                <w:rFonts w:ascii="宋体" w:hAnsi="宋体" w:eastAsia="宋体" w:cs="宋体"/>
                <w:sz w:val="20"/>
                <w:szCs w:val="20"/>
              </w:rPr>
            </w:pPr>
            <w:r>
              <w:rPr>
                <w:rFonts w:ascii="宋体" w:hAnsi="宋体" w:eastAsia="宋体" w:cs="宋体"/>
                <w:spacing w:val="8"/>
                <w:sz w:val="20"/>
                <w:szCs w:val="20"/>
              </w:rPr>
              <w:t>（一）社会保障和就业支出</w:t>
            </w: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2,357.10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4" w:line="227" w:lineRule="auto"/>
              <w:ind w:left="32"/>
              <w:rPr>
                <w:rFonts w:ascii="宋体" w:hAnsi="宋体" w:eastAsia="宋体" w:cs="宋体"/>
                <w:sz w:val="20"/>
                <w:szCs w:val="20"/>
              </w:rPr>
            </w:pPr>
            <w:r>
              <w:rPr>
                <w:rFonts w:ascii="宋体" w:hAnsi="宋体" w:eastAsia="宋体" w:cs="宋体"/>
                <w:spacing w:val="8"/>
                <w:sz w:val="20"/>
                <w:szCs w:val="20"/>
              </w:rPr>
              <w:t>（二）政府性基金预算拨款</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spacing w:before="134" w:line="228" w:lineRule="auto"/>
              <w:ind w:left="31"/>
              <w:rPr>
                <w:rFonts w:ascii="宋体" w:hAnsi="宋体" w:eastAsia="宋体" w:cs="宋体"/>
                <w:sz w:val="20"/>
                <w:szCs w:val="20"/>
              </w:rPr>
            </w:pPr>
            <w:r>
              <w:rPr>
                <w:rFonts w:ascii="宋体" w:hAnsi="宋体" w:eastAsia="宋体" w:cs="宋体"/>
                <w:spacing w:val="8"/>
                <w:sz w:val="20"/>
                <w:szCs w:val="20"/>
              </w:rPr>
              <w:t>（二）卫生健康支出</w:t>
            </w: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1,003.16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4497" w:type="dxa"/>
            <w:vAlign w:val="top"/>
          </w:tcPr>
          <w:p>
            <w:pPr>
              <w:spacing w:before="133" w:line="227" w:lineRule="auto"/>
              <w:ind w:left="32"/>
              <w:rPr>
                <w:rFonts w:ascii="宋体" w:hAnsi="宋体" w:eastAsia="宋体" w:cs="宋体"/>
                <w:sz w:val="20"/>
                <w:szCs w:val="20"/>
              </w:rPr>
            </w:pPr>
            <w:r>
              <w:rPr>
                <w:rFonts w:ascii="宋体" w:hAnsi="宋体" w:eastAsia="宋体" w:cs="宋体"/>
                <w:spacing w:val="5"/>
                <w:sz w:val="20"/>
                <w:szCs w:val="20"/>
              </w:rPr>
              <w:t>（三）</w:t>
            </w:r>
            <w:r>
              <w:rPr>
                <w:rFonts w:ascii="宋体" w:hAnsi="宋体" w:eastAsia="宋体" w:cs="宋体"/>
                <w:spacing w:val="-50"/>
                <w:sz w:val="20"/>
                <w:szCs w:val="20"/>
              </w:rPr>
              <w:t xml:space="preserve"> </w:t>
            </w:r>
            <w:r>
              <w:rPr>
                <w:rFonts w:ascii="宋体" w:hAnsi="宋体" w:eastAsia="宋体" w:cs="宋体"/>
                <w:spacing w:val="5"/>
                <w:sz w:val="20"/>
                <w:szCs w:val="20"/>
              </w:rPr>
              <w:t>国有资本经营预算拨款</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spacing w:before="132" w:line="228" w:lineRule="auto"/>
              <w:ind w:left="31"/>
              <w:rPr>
                <w:rFonts w:ascii="宋体" w:hAnsi="宋体" w:eastAsia="宋体" w:cs="宋体"/>
                <w:sz w:val="20"/>
                <w:szCs w:val="20"/>
              </w:rPr>
            </w:pPr>
            <w:r>
              <w:rPr>
                <w:rFonts w:ascii="宋体" w:hAnsi="宋体" w:eastAsia="宋体" w:cs="宋体"/>
                <w:spacing w:val="8"/>
                <w:sz w:val="20"/>
                <w:szCs w:val="20"/>
              </w:rPr>
              <w:t>（三）住房保障支出</w:t>
            </w: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293.18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0"/>
                <w:szCs w:val="20"/>
              </w:rPr>
            </w:pP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spacing w:before="133" w:line="228" w:lineRule="auto"/>
              <w:ind w:left="31" w:leftChars="0"/>
              <w:rPr>
                <w:rFonts w:ascii="宋体" w:hAnsi="宋体" w:eastAsia="宋体" w:cs="宋体"/>
                <w:sz w:val="20"/>
                <w:szCs w:val="20"/>
              </w:rPr>
            </w:pPr>
            <w:r>
              <w:rPr>
                <w:rFonts w:ascii="宋体" w:hAnsi="宋体" w:eastAsia="宋体" w:cs="宋体"/>
                <w:spacing w:val="8"/>
                <w:sz w:val="20"/>
                <w:szCs w:val="20"/>
              </w:rPr>
              <w:t>（</w:t>
            </w:r>
            <w:r>
              <w:rPr>
                <w:rFonts w:hint="eastAsia" w:ascii="宋体" w:hAnsi="宋体" w:eastAsia="宋体" w:cs="宋体"/>
                <w:spacing w:val="8"/>
                <w:sz w:val="20"/>
                <w:szCs w:val="20"/>
                <w:lang w:eastAsia="zh-CN"/>
              </w:rPr>
              <w:t>四</w:t>
            </w:r>
            <w:r>
              <w:rPr>
                <w:rFonts w:ascii="宋体" w:hAnsi="宋体" w:eastAsia="宋体" w:cs="宋体"/>
                <w:spacing w:val="8"/>
                <w:sz w:val="20"/>
                <w:szCs w:val="20"/>
              </w:rPr>
              <w:t>）灾害防治及应急管理支出</w:t>
            </w: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3,027.76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3" w:line="228" w:lineRule="auto"/>
              <w:ind w:left="25"/>
              <w:rPr>
                <w:rFonts w:ascii="宋体" w:hAnsi="宋体" w:eastAsia="宋体" w:cs="宋体"/>
                <w:sz w:val="20"/>
                <w:szCs w:val="20"/>
              </w:rPr>
            </w:pPr>
            <w:r>
              <w:rPr>
                <w:rFonts w:ascii="宋体" w:hAnsi="宋体" w:eastAsia="宋体" w:cs="宋体"/>
                <w:spacing w:val="8"/>
                <w:sz w:val="20"/>
                <w:szCs w:val="20"/>
              </w:rPr>
              <w:t>二、上年结转</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3,114.64</w:t>
            </w:r>
          </w:p>
        </w:tc>
        <w:tc>
          <w:tcPr>
            <w:tcW w:w="4633" w:type="dxa"/>
            <w:vAlign w:val="top"/>
          </w:tcPr>
          <w:p>
            <w:pPr>
              <w:spacing w:before="133" w:line="228" w:lineRule="auto"/>
              <w:ind w:left="31"/>
              <w:rPr>
                <w:rFonts w:ascii="宋体" w:hAnsi="宋体" w:eastAsia="宋体" w:cs="宋体"/>
                <w:sz w:val="20"/>
                <w:szCs w:val="20"/>
              </w:rPr>
            </w:pP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5" w:line="228" w:lineRule="auto"/>
              <w:ind w:left="32"/>
              <w:rPr>
                <w:rFonts w:ascii="宋体" w:hAnsi="宋体" w:eastAsia="宋体" w:cs="宋体"/>
                <w:sz w:val="20"/>
                <w:szCs w:val="20"/>
              </w:rPr>
            </w:pPr>
            <w:r>
              <w:rPr>
                <w:rFonts w:ascii="宋体" w:hAnsi="宋体" w:eastAsia="宋体" w:cs="宋体"/>
                <w:spacing w:val="8"/>
                <w:sz w:val="20"/>
                <w:szCs w:val="20"/>
              </w:rPr>
              <w:t>（一）一般公共预算拨款</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spacing w:val="3"/>
                <w:sz w:val="20"/>
                <w:szCs w:val="20"/>
                <w:lang w:val="en-US" w:eastAsia="zh-CN"/>
              </w:rPr>
              <w:t>3,114.64</w:t>
            </w:r>
          </w:p>
        </w:tc>
        <w:tc>
          <w:tcPr>
            <w:tcW w:w="4633" w:type="dxa"/>
            <w:vAlign w:val="top"/>
          </w:tcPr>
          <w:p>
            <w:pPr>
              <w:rPr>
                <w:rFonts w:ascii="Arial"/>
                <w:sz w:val="20"/>
                <w:szCs w:val="20"/>
              </w:rPr>
            </w:pP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4" w:line="227" w:lineRule="auto"/>
              <w:ind w:left="32"/>
              <w:rPr>
                <w:rFonts w:ascii="宋体" w:hAnsi="宋体" w:eastAsia="宋体" w:cs="宋体"/>
                <w:sz w:val="20"/>
                <w:szCs w:val="20"/>
              </w:rPr>
            </w:pPr>
            <w:r>
              <w:rPr>
                <w:rFonts w:ascii="宋体" w:hAnsi="宋体" w:eastAsia="宋体" w:cs="宋体"/>
                <w:spacing w:val="8"/>
                <w:sz w:val="20"/>
                <w:szCs w:val="20"/>
              </w:rPr>
              <w:t>（二）政府性基金预算拨款</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rPr>
                <w:rFonts w:ascii="Arial"/>
                <w:sz w:val="20"/>
                <w:szCs w:val="20"/>
              </w:rPr>
            </w:pP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5" w:line="227" w:lineRule="auto"/>
              <w:ind w:left="32"/>
              <w:rPr>
                <w:rFonts w:ascii="宋体" w:hAnsi="宋体" w:eastAsia="宋体" w:cs="宋体"/>
                <w:sz w:val="20"/>
                <w:szCs w:val="20"/>
              </w:rPr>
            </w:pPr>
            <w:r>
              <w:rPr>
                <w:rFonts w:ascii="宋体" w:hAnsi="宋体" w:eastAsia="宋体" w:cs="宋体"/>
                <w:spacing w:val="5"/>
                <w:sz w:val="20"/>
                <w:szCs w:val="20"/>
              </w:rPr>
              <w:t>（三）</w:t>
            </w:r>
            <w:r>
              <w:rPr>
                <w:rFonts w:ascii="宋体" w:hAnsi="宋体" w:eastAsia="宋体" w:cs="宋体"/>
                <w:spacing w:val="-50"/>
                <w:sz w:val="20"/>
                <w:szCs w:val="20"/>
              </w:rPr>
              <w:t xml:space="preserve"> </w:t>
            </w:r>
            <w:r>
              <w:rPr>
                <w:rFonts w:ascii="宋体" w:hAnsi="宋体" w:eastAsia="宋体" w:cs="宋体"/>
                <w:spacing w:val="5"/>
                <w:sz w:val="20"/>
                <w:szCs w:val="20"/>
              </w:rPr>
              <w:t>国有资本经营预算拨款</w:t>
            </w: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rPr>
                <w:rFonts w:ascii="Arial"/>
                <w:sz w:val="20"/>
                <w:szCs w:val="20"/>
              </w:rPr>
            </w:pP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0"/>
                <w:szCs w:val="20"/>
              </w:rPr>
            </w:pP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rPr>
                <w:rFonts w:ascii="Arial"/>
                <w:sz w:val="20"/>
                <w:szCs w:val="20"/>
              </w:rPr>
            </w:pP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0"/>
                <w:szCs w:val="20"/>
              </w:rPr>
            </w:pP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spacing w:before="135" w:line="228" w:lineRule="auto"/>
              <w:ind w:left="24"/>
              <w:rPr>
                <w:rFonts w:ascii="宋体" w:hAnsi="宋体" w:eastAsia="宋体" w:cs="宋体"/>
                <w:sz w:val="20"/>
                <w:szCs w:val="20"/>
              </w:rPr>
            </w:pPr>
            <w:r>
              <w:rPr>
                <w:rFonts w:ascii="宋体" w:hAnsi="宋体" w:eastAsia="宋体" w:cs="宋体"/>
                <w:spacing w:val="8"/>
                <w:sz w:val="20"/>
                <w:szCs w:val="20"/>
              </w:rPr>
              <w:t>二、结转下年</w:t>
            </w:r>
          </w:p>
        </w:tc>
        <w:tc>
          <w:tcPr>
            <w:tcW w:w="2311" w:type="dxa"/>
            <w:vAlign w:val="center"/>
          </w:tcPr>
          <w:p>
            <w:pPr>
              <w:jc w:val="righ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0"/>
                <w:szCs w:val="20"/>
              </w:rPr>
            </w:pPr>
          </w:p>
        </w:tc>
        <w:tc>
          <w:tcPr>
            <w:tcW w:w="2030" w:type="dxa"/>
            <w:vAlign w:val="center"/>
          </w:tcPr>
          <w:p>
            <w:pPr>
              <w:jc w:val="right"/>
              <w:rPr>
                <w:rFonts w:hint="eastAsia" w:ascii="Times New Roman" w:hAnsi="Times New Roman" w:eastAsia="Times New Roman" w:cs="Times New Roman"/>
                <w:spacing w:val="3"/>
                <w:sz w:val="20"/>
                <w:szCs w:val="20"/>
                <w:lang w:val="en-US" w:eastAsia="zh-CN"/>
              </w:rPr>
            </w:pPr>
          </w:p>
        </w:tc>
        <w:tc>
          <w:tcPr>
            <w:tcW w:w="4633" w:type="dxa"/>
            <w:vAlign w:val="top"/>
          </w:tcPr>
          <w:p>
            <w:pPr>
              <w:rPr>
                <w:rFonts w:ascii="Arial"/>
                <w:sz w:val="20"/>
                <w:szCs w:val="20"/>
              </w:rPr>
            </w:pPr>
          </w:p>
        </w:tc>
        <w:tc>
          <w:tcPr>
            <w:tcW w:w="2311" w:type="dxa"/>
            <w:vAlign w:val="center"/>
          </w:tcPr>
          <w:p>
            <w:pPr>
              <w:jc w:val="left"/>
              <w:rPr>
                <w:rFonts w:hint="eastAsia" w:ascii="Times New Roman" w:hAnsi="Times New Roman" w:eastAsia="Times New Roman" w:cs="Times New Roman"/>
                <w:spacing w:val="3"/>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497" w:type="dxa"/>
            <w:vAlign w:val="top"/>
          </w:tcPr>
          <w:p>
            <w:pPr>
              <w:spacing w:before="135" w:line="228" w:lineRule="auto"/>
              <w:ind w:left="126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收</w:t>
            </w:r>
            <w:r>
              <w:rPr>
                <w:rFonts w:ascii="宋体" w:hAnsi="宋体" w:eastAsia="宋体" w:cs="宋体"/>
                <w:spacing w:val="7"/>
                <w:sz w:val="20"/>
                <w:szCs w:val="20"/>
              </w:rPr>
              <w:t xml:space="preserve">    </w:t>
            </w:r>
            <w:r>
              <w:rPr>
                <w:rFonts w:ascii="宋体" w:hAnsi="宋体" w:eastAsia="宋体" w:cs="宋体"/>
                <w:spacing w:val="-2"/>
                <w:sz w:val="20"/>
                <w:szCs w:val="20"/>
                <w14:textOutline w14:w="3614" w14:cap="sq" w14:cmpd="sng">
                  <w14:solidFill>
                    <w14:srgbClr w14:val="000000"/>
                  </w14:solidFill>
                  <w14:prstDash w14:val="solid"/>
                  <w14:bevel/>
                </w14:textOutline>
              </w:rPr>
              <w:t>入</w:t>
            </w:r>
            <w:r>
              <w:rPr>
                <w:rFonts w:ascii="宋体" w:hAnsi="宋体" w:eastAsia="宋体" w:cs="宋体"/>
                <w:spacing w:val="9"/>
                <w:sz w:val="20"/>
                <w:szCs w:val="20"/>
              </w:rPr>
              <w:t xml:space="preserve">    </w:t>
            </w:r>
            <w:r>
              <w:rPr>
                <w:rFonts w:ascii="宋体" w:hAnsi="宋体" w:eastAsia="宋体" w:cs="宋体"/>
                <w:spacing w:val="-2"/>
                <w:sz w:val="20"/>
                <w:szCs w:val="20"/>
                <w14:textOutline w14:w="3614" w14:cap="sq" w14:cmpd="sng">
                  <w14:solidFill>
                    <w14:srgbClr w14:val="000000"/>
                  </w14:solidFill>
                  <w14:prstDash w14:val="solid"/>
                  <w14:bevel/>
                </w14:textOutline>
              </w:rPr>
              <w:t>总</w:t>
            </w:r>
            <w:r>
              <w:rPr>
                <w:rFonts w:ascii="宋体" w:hAnsi="宋体" w:eastAsia="宋体" w:cs="宋体"/>
                <w:spacing w:val="7"/>
                <w:sz w:val="20"/>
                <w:szCs w:val="20"/>
              </w:rPr>
              <w:t xml:space="preserve">    </w:t>
            </w:r>
            <w:r>
              <w:rPr>
                <w:rFonts w:ascii="宋体" w:hAnsi="宋体" w:eastAsia="宋体" w:cs="宋体"/>
                <w:spacing w:val="-2"/>
                <w:sz w:val="20"/>
                <w:szCs w:val="20"/>
                <w14:textOutline w14:w="3614" w14:cap="sq" w14:cmpd="sng">
                  <w14:solidFill>
                    <w14:srgbClr w14:val="000000"/>
                  </w14:solidFill>
                  <w14:prstDash w14:val="solid"/>
                  <w14:bevel/>
                </w14:textOutline>
              </w:rPr>
              <w:t>计</w:t>
            </w:r>
          </w:p>
        </w:tc>
        <w:tc>
          <w:tcPr>
            <w:tcW w:w="2030" w:type="dxa"/>
            <w:vAlign w:val="center"/>
          </w:tcPr>
          <w:p>
            <w:pPr>
              <w:keepNext w:val="0"/>
              <w:keepLines w:val="0"/>
              <w:widowControl/>
              <w:suppressLineNumbers w:val="0"/>
              <w:jc w:val="right"/>
              <w:textAlignment w:val="center"/>
              <w:rPr>
                <w:rFonts w:hint="eastAsia" w:ascii="Times New Roman" w:hAnsi="Times New Roman" w:eastAsia="Times New Roman" w:cs="Times New Roman"/>
                <w:spacing w:val="3"/>
                <w:sz w:val="20"/>
                <w:szCs w:val="20"/>
                <w:lang w:val="en-US" w:eastAsia="zh-CN"/>
              </w:rPr>
            </w:pPr>
            <w:r>
              <w:rPr>
                <w:rFonts w:hint="eastAsia" w:ascii="Times New Roman" w:hAnsi="Times New Roman" w:eastAsia="Times New Roman" w:cs="Times New Roman"/>
                <w:b/>
                <w:bCs/>
                <w:spacing w:val="3"/>
                <w:sz w:val="20"/>
                <w:szCs w:val="20"/>
                <w:lang w:val="en-US" w:eastAsia="zh-CN"/>
              </w:rPr>
              <w:t>6,681.20</w:t>
            </w:r>
          </w:p>
        </w:tc>
        <w:tc>
          <w:tcPr>
            <w:tcW w:w="4633" w:type="dxa"/>
            <w:vAlign w:val="top"/>
          </w:tcPr>
          <w:p>
            <w:pPr>
              <w:spacing w:before="134" w:line="229" w:lineRule="auto"/>
              <w:ind w:left="1322"/>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支</w:t>
            </w:r>
            <w:r>
              <w:rPr>
                <w:rFonts w:ascii="宋体" w:hAnsi="宋体" w:eastAsia="宋体" w:cs="宋体"/>
                <w:spacing w:val="11"/>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出</w:t>
            </w:r>
            <w:r>
              <w:rPr>
                <w:rFonts w:ascii="宋体" w:hAnsi="宋体" w:eastAsia="宋体" w:cs="宋体"/>
                <w:spacing w:val="9"/>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总</w:t>
            </w:r>
            <w:r>
              <w:rPr>
                <w:rFonts w:ascii="宋体" w:hAnsi="宋体" w:eastAsia="宋体" w:cs="宋体"/>
                <w:spacing w:val="7"/>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计</w:t>
            </w:r>
          </w:p>
        </w:tc>
        <w:tc>
          <w:tcPr>
            <w:tcW w:w="2311" w:type="dxa"/>
            <w:vAlign w:val="center"/>
          </w:tcPr>
          <w:p>
            <w:pPr>
              <w:keepNext w:val="0"/>
              <w:keepLines w:val="0"/>
              <w:widowControl/>
              <w:suppressLineNumbers w:val="0"/>
              <w:jc w:val="right"/>
              <w:textAlignment w:val="center"/>
              <w:rPr>
                <w:rFonts w:hint="eastAsia" w:ascii="Times New Roman" w:hAnsi="Times New Roman" w:eastAsia="Times New Roman" w:cs="Times New Roman"/>
                <w:b/>
                <w:bCs/>
                <w:spacing w:val="3"/>
                <w:sz w:val="20"/>
                <w:szCs w:val="20"/>
                <w:lang w:val="en-US" w:eastAsia="zh-CN"/>
              </w:rPr>
            </w:pPr>
            <w:r>
              <w:rPr>
                <w:rFonts w:hint="eastAsia" w:ascii="Times New Roman" w:hAnsi="Times New Roman" w:eastAsia="Times New Roman" w:cs="Times New Roman"/>
                <w:b/>
                <w:bCs/>
                <w:spacing w:val="3"/>
                <w:sz w:val="20"/>
                <w:szCs w:val="20"/>
                <w:lang w:val="en-US" w:eastAsia="zh-CN"/>
              </w:rPr>
              <w:t>6,681.20</w:t>
            </w:r>
          </w:p>
        </w:tc>
      </w:tr>
    </w:tbl>
    <w:p>
      <w:pPr>
        <w:pStyle w:val="2"/>
        <w:jc w:val="right"/>
      </w:pPr>
    </w:p>
    <w:p>
      <w:pPr>
        <w:spacing w:before="155" w:line="220" w:lineRule="auto"/>
        <w:ind w:right="19"/>
        <w:jc w:val="center"/>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p>
    <w:p>
      <w:pPr>
        <w:sectPr>
          <w:footerReference r:id="rId13" w:type="default"/>
          <w:pgSz w:w="16838" w:h="11906" w:orient="landscape"/>
          <w:pgMar w:top="720" w:right="720" w:bottom="720" w:left="720" w:header="0" w:footer="646" w:gutter="0"/>
          <w:pgNumType w:fmt="decimal"/>
          <w:cols w:space="720" w:num="1"/>
        </w:sectPr>
      </w:pPr>
    </w:p>
    <w:p>
      <w:pPr>
        <w:spacing w:before="62" w:line="228" w:lineRule="auto"/>
        <w:ind w:right="15"/>
        <w:jc w:val="center"/>
        <w:rPr>
          <w:rFonts w:hint="eastAsia" w:ascii="宋体" w:hAnsi="宋体" w:eastAsia="宋体" w:cs="宋体"/>
          <w:spacing w:val="6"/>
          <w:sz w:val="19"/>
          <w:szCs w:val="19"/>
          <w:lang w:val="en-US" w:eastAsia="zh-CN"/>
        </w:rPr>
      </w:pPr>
      <w:bookmarkStart w:id="3" w:name="bookmark10"/>
      <w:bookmarkEnd w:id="3"/>
      <w:bookmarkStart w:id="4" w:name="OLE_LINK1"/>
      <w:r>
        <w:rPr>
          <w:rFonts w:ascii="微软雅黑" w:hAnsi="微软雅黑" w:eastAsia="微软雅黑" w:cs="微软雅黑"/>
          <w:spacing w:val="9"/>
          <w:sz w:val="31"/>
          <w:szCs w:val="31"/>
        </w:rPr>
        <w:t>一般公共预算支出表</w:t>
      </w:r>
      <w:r>
        <w:rPr>
          <w:rFonts w:hint="default" w:ascii="宋体" w:hAnsi="宋体" w:eastAsia="宋体" w:cs="宋体"/>
          <w:spacing w:val="6"/>
          <w:sz w:val="19"/>
          <w:szCs w:val="19"/>
          <w:lang w:val="en-US" w:eastAsia="zh-CN"/>
        </w:rPr>
        <w:t xml:space="preserve"> </w:t>
      </w:r>
      <w:r>
        <w:rPr>
          <w:rFonts w:hint="eastAsia" w:ascii="宋体" w:hAnsi="宋体" w:eastAsia="宋体" w:cs="宋体"/>
          <w:spacing w:val="6"/>
          <w:sz w:val="19"/>
          <w:szCs w:val="19"/>
          <w:lang w:val="en-US" w:eastAsia="zh-CN"/>
        </w:rPr>
        <w:t xml:space="preserve">                                              </w:t>
      </w:r>
    </w:p>
    <w:p>
      <w:pPr>
        <w:spacing w:before="62" w:line="228" w:lineRule="auto"/>
        <w:ind w:right="15"/>
        <w:jc w:val="right"/>
        <w:rPr>
          <w:rFonts w:hint="eastAsia" w:ascii="宋体" w:hAnsi="宋体" w:eastAsia="宋体" w:cs="宋体"/>
          <w:spacing w:val="6"/>
          <w:sz w:val="19"/>
          <w:szCs w:val="19"/>
          <w:lang w:val="en-US" w:eastAsia="zh-CN"/>
        </w:rPr>
      </w:pPr>
    </w:p>
    <w:p>
      <w:pPr>
        <w:spacing w:before="62" w:line="228" w:lineRule="auto"/>
        <w:ind w:right="15"/>
        <w:jc w:val="center"/>
        <w:rPr>
          <w:rFonts w:hint="default" w:ascii="Times New Roman" w:hAnsi="Times New Roman" w:eastAsia="Times New Roman" w:cs="Times New Roman"/>
          <w:spacing w:val="6"/>
          <w:sz w:val="19"/>
          <w:szCs w:val="19"/>
          <w:lang w:val="en-US"/>
        </w:rPr>
      </w:pPr>
      <w:r>
        <w:rPr>
          <w:rFonts w:hint="eastAsia" w:ascii="宋体" w:hAnsi="宋体" w:eastAsia="宋体" w:cs="宋体"/>
          <w:spacing w:val="6"/>
          <w:sz w:val="19"/>
          <w:szCs w:val="19"/>
          <w:lang w:val="en-US" w:eastAsia="zh-CN"/>
        </w:rPr>
        <w:t xml:space="preserve">                                                                                                                          </w:t>
      </w:r>
      <w:r>
        <w:rPr>
          <w:rFonts w:hint="default" w:ascii="宋体" w:hAnsi="宋体" w:eastAsia="宋体" w:cs="宋体"/>
          <w:spacing w:val="6"/>
          <w:sz w:val="19"/>
          <w:szCs w:val="19"/>
          <w:lang w:val="en-US"/>
        </w:rPr>
        <w:t>部门公开表</w:t>
      </w:r>
      <w:r>
        <w:rPr>
          <w:rFonts w:hint="default" w:ascii="宋体" w:hAnsi="宋体" w:eastAsia="宋体" w:cs="宋体"/>
          <w:spacing w:val="-34"/>
          <w:sz w:val="19"/>
          <w:szCs w:val="19"/>
          <w:lang w:val="en-US"/>
        </w:rPr>
        <w:t xml:space="preserve"> </w:t>
      </w:r>
      <w:r>
        <w:rPr>
          <w:rFonts w:hint="default" w:ascii="Times New Roman" w:hAnsi="Times New Roman" w:eastAsia="Times New Roman" w:cs="Times New Roman"/>
          <w:spacing w:val="6"/>
          <w:sz w:val="19"/>
          <w:szCs w:val="19"/>
          <w:lang w:val="en-US"/>
        </w:rPr>
        <w:t>5</w:t>
      </w:r>
    </w:p>
    <w:tbl>
      <w:tblPr>
        <w:tblStyle w:val="8"/>
        <w:tblpPr w:leftFromText="180" w:rightFromText="180" w:vertAnchor="text" w:horzAnchor="page" w:tblpX="1451" w:tblpY="1267"/>
        <w:tblOverlap w:val="never"/>
        <w:tblW w:w="143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2"/>
        <w:gridCol w:w="1713"/>
        <w:gridCol w:w="1189"/>
        <w:gridCol w:w="1294"/>
        <w:gridCol w:w="1202"/>
        <w:gridCol w:w="1280"/>
        <w:gridCol w:w="1138"/>
        <w:gridCol w:w="1242"/>
        <w:gridCol w:w="1438"/>
        <w:gridCol w:w="653"/>
        <w:gridCol w:w="1425"/>
        <w:gridCol w:w="6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2785" w:type="dxa"/>
            <w:gridSpan w:val="2"/>
            <w:vAlign w:val="top"/>
          </w:tcPr>
          <w:p>
            <w:pPr>
              <w:pStyle w:val="2"/>
              <w:rPr>
                <w:sz w:val="20"/>
                <w:szCs w:val="20"/>
              </w:rPr>
            </w:pPr>
          </w:p>
          <w:p>
            <w:pPr>
              <w:spacing w:before="62" w:line="227" w:lineRule="auto"/>
              <w:ind w:left="77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功能分类科目</w:t>
            </w:r>
          </w:p>
        </w:tc>
        <w:tc>
          <w:tcPr>
            <w:tcW w:w="2483" w:type="dxa"/>
            <w:gridSpan w:val="2"/>
            <w:vAlign w:val="top"/>
          </w:tcPr>
          <w:p>
            <w:pPr>
              <w:spacing w:line="325" w:lineRule="auto"/>
              <w:rPr>
                <w:rFonts w:ascii="Arial"/>
                <w:sz w:val="20"/>
                <w:szCs w:val="20"/>
              </w:rPr>
            </w:pPr>
          </w:p>
          <w:p>
            <w:pPr>
              <w:spacing w:before="62" w:line="228" w:lineRule="auto"/>
              <w:ind w:left="622"/>
              <w:rPr>
                <w:rFonts w:ascii="宋体" w:hAnsi="宋体" w:eastAsia="宋体" w:cs="宋体"/>
                <w:sz w:val="20"/>
                <w:szCs w:val="20"/>
              </w:rPr>
            </w:pPr>
            <w:r>
              <w:rPr>
                <w:rFonts w:ascii="Times New Roman" w:hAnsi="Times New Roman" w:eastAsia="Times New Roman" w:cs="Times New Roman"/>
                <w:b/>
                <w:bCs/>
                <w:spacing w:val="5"/>
                <w:sz w:val="20"/>
                <w:szCs w:val="20"/>
              </w:rPr>
              <w:t>2023</w:t>
            </w:r>
            <w:r>
              <w:rPr>
                <w:rFonts w:ascii="Times New Roman" w:hAnsi="Times New Roman" w:eastAsia="Times New Roman" w:cs="Times New Roman"/>
                <w:b/>
                <w:bCs/>
                <w:spacing w:val="19"/>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年执行数</w:t>
            </w:r>
          </w:p>
        </w:tc>
        <w:tc>
          <w:tcPr>
            <w:tcW w:w="4862" w:type="dxa"/>
            <w:gridSpan w:val="4"/>
            <w:vAlign w:val="top"/>
          </w:tcPr>
          <w:p>
            <w:pPr>
              <w:spacing w:line="325" w:lineRule="auto"/>
              <w:rPr>
                <w:rFonts w:ascii="Arial"/>
                <w:sz w:val="20"/>
                <w:szCs w:val="20"/>
              </w:rPr>
            </w:pPr>
          </w:p>
          <w:p>
            <w:pPr>
              <w:spacing w:before="62" w:line="228" w:lineRule="auto"/>
              <w:ind w:left="1812"/>
              <w:rPr>
                <w:rFonts w:ascii="宋体" w:hAnsi="宋体" w:eastAsia="宋体" w:cs="宋体"/>
                <w:sz w:val="20"/>
                <w:szCs w:val="20"/>
              </w:rPr>
            </w:pPr>
            <w:r>
              <w:rPr>
                <w:rFonts w:ascii="Times New Roman" w:hAnsi="Times New Roman" w:eastAsia="Times New Roman" w:cs="Times New Roman"/>
                <w:b/>
                <w:bCs/>
                <w:spacing w:val="5"/>
                <w:sz w:val="20"/>
                <w:szCs w:val="20"/>
              </w:rPr>
              <w:t>2024</w:t>
            </w:r>
            <w:r>
              <w:rPr>
                <w:rFonts w:ascii="Times New Roman" w:hAnsi="Times New Roman" w:eastAsia="Times New Roman" w:cs="Times New Roman"/>
                <w:b/>
                <w:bCs/>
                <w:spacing w:val="19"/>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年预算数</w:t>
            </w:r>
          </w:p>
        </w:tc>
        <w:tc>
          <w:tcPr>
            <w:tcW w:w="2091" w:type="dxa"/>
            <w:gridSpan w:val="2"/>
            <w:vAlign w:val="top"/>
          </w:tcPr>
          <w:p>
            <w:pPr>
              <w:spacing w:before="232" w:line="266" w:lineRule="auto"/>
              <w:ind w:left="425" w:right="316" w:hanging="100"/>
              <w:rPr>
                <w:rFonts w:ascii="宋体" w:hAnsi="宋体" w:eastAsia="宋体" w:cs="宋体"/>
                <w:sz w:val="20"/>
                <w:szCs w:val="20"/>
              </w:rPr>
            </w:pPr>
            <w:r>
              <w:rPr>
                <w:rFonts w:ascii="Times New Roman" w:hAnsi="Times New Roman" w:eastAsia="Times New Roman" w:cs="Times New Roman"/>
                <w:b/>
                <w:bCs/>
                <w:spacing w:val="7"/>
                <w:sz w:val="20"/>
                <w:szCs w:val="20"/>
              </w:rPr>
              <w:t xml:space="preserve">2024 </w:t>
            </w:r>
            <w:r>
              <w:rPr>
                <w:rFonts w:ascii="宋体" w:hAnsi="宋体" w:eastAsia="宋体" w:cs="宋体"/>
                <w:spacing w:val="7"/>
                <w:sz w:val="20"/>
                <w:szCs w:val="20"/>
                <w14:textOutline w14:w="3614" w14:cap="sq" w14:cmpd="sng">
                  <w14:solidFill>
                    <w14:srgbClr w14:val="000000"/>
                  </w14:solidFill>
                  <w14:prstDash w14:val="solid"/>
                  <w14:bevel/>
                </w14:textOutline>
              </w:rPr>
              <w:t>年预算数比</w:t>
            </w:r>
            <w:r>
              <w:rPr>
                <w:rFonts w:ascii="宋体" w:hAnsi="宋体" w:eastAsia="宋体" w:cs="宋体"/>
                <w:sz w:val="20"/>
                <w:szCs w:val="20"/>
              </w:rPr>
              <w:t xml:space="preserve"> </w:t>
            </w:r>
            <w:r>
              <w:rPr>
                <w:rFonts w:ascii="Times New Roman" w:hAnsi="Times New Roman" w:eastAsia="Times New Roman" w:cs="Times New Roman"/>
                <w:b/>
                <w:bCs/>
                <w:spacing w:val="6"/>
                <w:sz w:val="20"/>
                <w:szCs w:val="20"/>
              </w:rPr>
              <w:t xml:space="preserve">2023 </w:t>
            </w:r>
            <w:r>
              <w:rPr>
                <w:rFonts w:ascii="宋体" w:hAnsi="宋体" w:eastAsia="宋体" w:cs="宋体"/>
                <w:spacing w:val="6"/>
                <w:sz w:val="20"/>
                <w:szCs w:val="20"/>
                <w14:textOutline w14:w="3614" w14:cap="sq" w14:cmpd="sng">
                  <w14:solidFill>
                    <w14:srgbClr w14:val="000000"/>
                  </w14:solidFill>
                  <w14:prstDash w14:val="solid"/>
                  <w14:bevel/>
                </w14:textOutline>
              </w:rPr>
              <w:t>年执行数</w:t>
            </w:r>
          </w:p>
        </w:tc>
        <w:tc>
          <w:tcPr>
            <w:tcW w:w="2117" w:type="dxa"/>
            <w:gridSpan w:val="2"/>
            <w:vAlign w:val="top"/>
          </w:tcPr>
          <w:p>
            <w:pPr>
              <w:spacing w:before="77" w:line="228" w:lineRule="auto"/>
              <w:ind w:left="326"/>
              <w:rPr>
                <w:rFonts w:ascii="宋体" w:hAnsi="宋体" w:eastAsia="宋体" w:cs="宋体"/>
                <w:sz w:val="20"/>
                <w:szCs w:val="20"/>
              </w:rPr>
            </w:pPr>
            <w:r>
              <w:rPr>
                <w:rFonts w:ascii="Times New Roman" w:hAnsi="Times New Roman" w:eastAsia="Times New Roman" w:cs="Times New Roman"/>
                <w:b/>
                <w:bCs/>
                <w:spacing w:val="6"/>
                <w:sz w:val="20"/>
                <w:szCs w:val="20"/>
              </w:rPr>
              <w:t xml:space="preserve">2024 </w:t>
            </w:r>
            <w:r>
              <w:rPr>
                <w:rFonts w:ascii="宋体" w:hAnsi="宋体" w:eastAsia="宋体" w:cs="宋体"/>
                <w:spacing w:val="6"/>
                <w:sz w:val="20"/>
                <w:szCs w:val="20"/>
                <w14:textOutline w14:w="3614" w14:cap="sq" w14:cmpd="sng">
                  <w14:solidFill>
                    <w14:srgbClr w14:val="000000"/>
                  </w14:solidFill>
                  <w14:prstDash w14:val="solid"/>
                  <w14:bevel/>
                </w14:textOutline>
              </w:rPr>
              <w:t>年预算数比</w:t>
            </w:r>
          </w:p>
          <w:p>
            <w:pPr>
              <w:spacing w:before="77" w:line="228" w:lineRule="auto"/>
              <w:ind w:left="425"/>
              <w:rPr>
                <w:rFonts w:ascii="宋体" w:hAnsi="宋体" w:eastAsia="宋体" w:cs="宋体"/>
                <w:sz w:val="20"/>
                <w:szCs w:val="20"/>
              </w:rPr>
            </w:pPr>
            <w:r>
              <w:rPr>
                <w:rFonts w:ascii="Times New Roman" w:hAnsi="Times New Roman" w:eastAsia="Times New Roman" w:cs="Times New Roman"/>
                <w:b/>
                <w:bCs/>
                <w:spacing w:val="5"/>
                <w:sz w:val="20"/>
                <w:szCs w:val="20"/>
              </w:rPr>
              <w:t>2023</w:t>
            </w:r>
            <w:r>
              <w:rPr>
                <w:rFonts w:ascii="Times New Roman" w:hAnsi="Times New Roman" w:eastAsia="Times New Roman" w:cs="Times New Roman"/>
                <w:b/>
                <w:bCs/>
                <w:spacing w:val="19"/>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年执行数</w:t>
            </w:r>
          </w:p>
          <w:p>
            <w:pPr>
              <w:spacing w:before="77" w:line="228" w:lineRule="auto"/>
              <w:ind w:left="63"/>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（扣除中央基建投资）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072" w:type="dxa"/>
            <w:vMerge w:val="restart"/>
            <w:tcBorders>
              <w:bottom w:val="nil"/>
            </w:tcBorders>
            <w:vAlign w:val="top"/>
          </w:tcPr>
          <w:p>
            <w:pPr>
              <w:spacing w:line="463" w:lineRule="auto"/>
              <w:rPr>
                <w:rFonts w:ascii="Arial"/>
                <w:sz w:val="20"/>
                <w:szCs w:val="20"/>
              </w:rPr>
            </w:pPr>
          </w:p>
          <w:p>
            <w:pPr>
              <w:spacing w:before="62" w:line="227" w:lineRule="auto"/>
              <w:ind w:left="117"/>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科目编码</w:t>
            </w:r>
          </w:p>
        </w:tc>
        <w:tc>
          <w:tcPr>
            <w:tcW w:w="1713" w:type="dxa"/>
            <w:vMerge w:val="restart"/>
            <w:tcBorders>
              <w:bottom w:val="nil"/>
            </w:tcBorders>
            <w:vAlign w:val="top"/>
          </w:tcPr>
          <w:p>
            <w:pPr>
              <w:spacing w:line="463" w:lineRule="auto"/>
              <w:rPr>
                <w:rFonts w:ascii="Arial"/>
                <w:sz w:val="20"/>
                <w:szCs w:val="20"/>
              </w:rPr>
            </w:pPr>
          </w:p>
          <w:p>
            <w:pPr>
              <w:spacing w:before="62" w:line="227" w:lineRule="auto"/>
              <w:ind w:left="453"/>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科目名称</w:t>
            </w:r>
          </w:p>
        </w:tc>
        <w:tc>
          <w:tcPr>
            <w:tcW w:w="1189" w:type="dxa"/>
            <w:vMerge w:val="restart"/>
            <w:tcBorders>
              <w:bottom w:val="nil"/>
            </w:tcBorders>
            <w:vAlign w:val="top"/>
          </w:tcPr>
          <w:p>
            <w:pPr>
              <w:spacing w:line="463" w:lineRule="auto"/>
              <w:rPr>
                <w:rFonts w:ascii="Arial"/>
                <w:sz w:val="20"/>
                <w:szCs w:val="20"/>
              </w:rPr>
            </w:pPr>
          </w:p>
          <w:p>
            <w:pPr>
              <w:spacing w:before="62" w:line="228" w:lineRule="auto"/>
              <w:ind w:left="328"/>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执行数</w:t>
            </w:r>
          </w:p>
        </w:tc>
        <w:tc>
          <w:tcPr>
            <w:tcW w:w="1294" w:type="dxa"/>
            <w:vMerge w:val="restart"/>
            <w:tcBorders>
              <w:bottom w:val="nil"/>
            </w:tcBorders>
            <w:vAlign w:val="top"/>
          </w:tcPr>
          <w:p>
            <w:pPr>
              <w:spacing w:line="307" w:lineRule="auto"/>
              <w:rPr>
                <w:rFonts w:ascii="Arial"/>
                <w:sz w:val="20"/>
                <w:szCs w:val="20"/>
              </w:rPr>
            </w:pPr>
          </w:p>
          <w:p>
            <w:pPr>
              <w:spacing w:before="62" w:line="266" w:lineRule="auto"/>
              <w:ind w:left="29" w:right="2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扣除中央基建投资后执行数</w:t>
            </w:r>
          </w:p>
        </w:tc>
        <w:tc>
          <w:tcPr>
            <w:tcW w:w="3620" w:type="dxa"/>
            <w:gridSpan w:val="3"/>
            <w:vAlign w:val="top"/>
          </w:tcPr>
          <w:p>
            <w:pPr>
              <w:spacing w:before="230" w:line="228" w:lineRule="auto"/>
              <w:ind w:left="1319"/>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年初预算数</w:t>
            </w:r>
          </w:p>
        </w:tc>
        <w:tc>
          <w:tcPr>
            <w:tcW w:w="1242" w:type="dxa"/>
            <w:vMerge w:val="restart"/>
            <w:tcBorders>
              <w:bottom w:val="nil"/>
            </w:tcBorders>
            <w:vAlign w:val="top"/>
          </w:tcPr>
          <w:p>
            <w:pPr>
              <w:spacing w:line="307" w:lineRule="auto"/>
              <w:rPr>
                <w:rFonts w:ascii="Arial"/>
                <w:sz w:val="20"/>
                <w:szCs w:val="20"/>
              </w:rPr>
            </w:pPr>
          </w:p>
          <w:p>
            <w:pPr>
              <w:spacing w:before="62" w:line="266" w:lineRule="auto"/>
              <w:ind w:left="29" w:right="20"/>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扣除中央基建投资后预算数</w:t>
            </w:r>
          </w:p>
        </w:tc>
        <w:tc>
          <w:tcPr>
            <w:tcW w:w="1438" w:type="dxa"/>
            <w:vMerge w:val="restart"/>
            <w:tcBorders>
              <w:bottom w:val="nil"/>
            </w:tcBorders>
            <w:vAlign w:val="top"/>
          </w:tcPr>
          <w:p>
            <w:pPr>
              <w:spacing w:line="463" w:lineRule="auto"/>
              <w:rPr>
                <w:rFonts w:ascii="Arial"/>
                <w:sz w:val="20"/>
                <w:szCs w:val="20"/>
              </w:rPr>
            </w:pPr>
          </w:p>
          <w:p>
            <w:pPr>
              <w:spacing w:before="62" w:line="228" w:lineRule="auto"/>
              <w:ind w:left="413"/>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增减额</w:t>
            </w:r>
          </w:p>
        </w:tc>
        <w:tc>
          <w:tcPr>
            <w:tcW w:w="653" w:type="dxa"/>
            <w:vMerge w:val="restart"/>
            <w:tcBorders>
              <w:bottom w:val="nil"/>
            </w:tcBorders>
            <w:vAlign w:val="top"/>
          </w:tcPr>
          <w:p>
            <w:pPr>
              <w:spacing w:line="308" w:lineRule="auto"/>
              <w:rPr>
                <w:rFonts w:ascii="Arial"/>
                <w:sz w:val="20"/>
                <w:szCs w:val="20"/>
              </w:rPr>
            </w:pPr>
          </w:p>
          <w:p>
            <w:pPr>
              <w:spacing w:before="62" w:line="346" w:lineRule="exact"/>
              <w:ind w:left="146"/>
              <w:rPr>
                <w:rFonts w:ascii="宋体" w:hAnsi="宋体" w:eastAsia="宋体" w:cs="宋体"/>
                <w:sz w:val="20"/>
                <w:szCs w:val="20"/>
              </w:rPr>
            </w:pPr>
            <w:r>
              <w:rPr>
                <w:rFonts w:ascii="宋体" w:hAnsi="宋体" w:eastAsia="宋体" w:cs="宋体"/>
                <w:spacing w:val="6"/>
                <w:position w:val="11"/>
                <w:sz w:val="20"/>
                <w:szCs w:val="20"/>
                <w14:textOutline w14:w="3614" w14:cap="sq" w14:cmpd="sng">
                  <w14:solidFill>
                    <w14:srgbClr w14:val="000000"/>
                  </w14:solidFill>
                  <w14:prstDash w14:val="solid"/>
                  <w14:bevel/>
                </w14:textOutline>
              </w:rPr>
              <w:t>增减</w:t>
            </w:r>
          </w:p>
          <w:p>
            <w:pPr>
              <w:spacing w:line="197" w:lineRule="auto"/>
              <w:ind w:left="179"/>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w:t>
            </w:r>
          </w:p>
        </w:tc>
        <w:tc>
          <w:tcPr>
            <w:tcW w:w="1425" w:type="dxa"/>
            <w:vMerge w:val="restart"/>
            <w:tcBorders>
              <w:bottom w:val="nil"/>
            </w:tcBorders>
            <w:vAlign w:val="top"/>
          </w:tcPr>
          <w:p>
            <w:pPr>
              <w:spacing w:line="463" w:lineRule="auto"/>
              <w:rPr>
                <w:rFonts w:ascii="Arial"/>
                <w:sz w:val="20"/>
                <w:szCs w:val="20"/>
              </w:rPr>
            </w:pPr>
          </w:p>
          <w:p>
            <w:pPr>
              <w:spacing w:before="62" w:line="228" w:lineRule="auto"/>
              <w:ind w:left="41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增减额</w:t>
            </w:r>
          </w:p>
        </w:tc>
        <w:tc>
          <w:tcPr>
            <w:tcW w:w="692" w:type="dxa"/>
            <w:vMerge w:val="restart"/>
            <w:tcBorders>
              <w:bottom w:val="nil"/>
            </w:tcBorders>
            <w:vAlign w:val="top"/>
          </w:tcPr>
          <w:p>
            <w:pPr>
              <w:spacing w:line="308" w:lineRule="auto"/>
              <w:rPr>
                <w:rFonts w:ascii="Arial"/>
                <w:sz w:val="20"/>
                <w:szCs w:val="20"/>
              </w:rPr>
            </w:pPr>
          </w:p>
          <w:p>
            <w:pPr>
              <w:spacing w:before="62" w:line="346" w:lineRule="exact"/>
              <w:ind w:left="148"/>
              <w:rPr>
                <w:rFonts w:ascii="宋体" w:hAnsi="宋体" w:eastAsia="宋体" w:cs="宋体"/>
                <w:sz w:val="20"/>
                <w:szCs w:val="20"/>
              </w:rPr>
            </w:pPr>
            <w:r>
              <w:rPr>
                <w:rFonts w:ascii="宋体" w:hAnsi="宋体" w:eastAsia="宋体" w:cs="宋体"/>
                <w:spacing w:val="6"/>
                <w:position w:val="11"/>
                <w:sz w:val="20"/>
                <w:szCs w:val="20"/>
                <w14:textOutline w14:w="3614" w14:cap="sq" w14:cmpd="sng">
                  <w14:solidFill>
                    <w14:srgbClr w14:val="000000"/>
                  </w14:solidFill>
                  <w14:prstDash w14:val="solid"/>
                  <w14:bevel/>
                </w14:textOutline>
              </w:rPr>
              <w:t>增减</w:t>
            </w:r>
          </w:p>
          <w:p>
            <w:pPr>
              <w:spacing w:line="197" w:lineRule="auto"/>
              <w:ind w:left="181"/>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72" w:type="dxa"/>
            <w:vMerge w:val="continue"/>
            <w:tcBorders>
              <w:top w:val="nil"/>
            </w:tcBorders>
            <w:vAlign w:val="top"/>
          </w:tcPr>
          <w:p>
            <w:pPr>
              <w:rPr>
                <w:rFonts w:ascii="Arial"/>
                <w:sz w:val="21"/>
              </w:rPr>
            </w:pPr>
          </w:p>
        </w:tc>
        <w:tc>
          <w:tcPr>
            <w:tcW w:w="1713" w:type="dxa"/>
            <w:vMerge w:val="continue"/>
            <w:tcBorders>
              <w:top w:val="nil"/>
            </w:tcBorders>
            <w:vAlign w:val="top"/>
          </w:tcPr>
          <w:p>
            <w:pPr>
              <w:rPr>
                <w:rFonts w:ascii="Arial"/>
                <w:sz w:val="21"/>
              </w:rPr>
            </w:pPr>
          </w:p>
        </w:tc>
        <w:tc>
          <w:tcPr>
            <w:tcW w:w="1189" w:type="dxa"/>
            <w:vMerge w:val="continue"/>
            <w:tcBorders>
              <w:top w:val="nil"/>
            </w:tcBorders>
            <w:vAlign w:val="top"/>
          </w:tcPr>
          <w:p>
            <w:pPr>
              <w:rPr>
                <w:rFonts w:ascii="Arial"/>
                <w:sz w:val="21"/>
              </w:rPr>
            </w:pPr>
          </w:p>
        </w:tc>
        <w:tc>
          <w:tcPr>
            <w:tcW w:w="1294" w:type="dxa"/>
            <w:vMerge w:val="continue"/>
            <w:tcBorders>
              <w:top w:val="nil"/>
            </w:tcBorders>
            <w:vAlign w:val="top"/>
          </w:tcPr>
          <w:p>
            <w:pPr>
              <w:rPr>
                <w:rFonts w:ascii="Arial"/>
                <w:sz w:val="21"/>
              </w:rPr>
            </w:pPr>
          </w:p>
        </w:tc>
        <w:tc>
          <w:tcPr>
            <w:tcW w:w="1202" w:type="dxa"/>
            <w:vAlign w:val="top"/>
          </w:tcPr>
          <w:p>
            <w:pPr>
              <w:spacing w:before="203" w:line="230" w:lineRule="auto"/>
              <w:ind w:left="431"/>
              <w:rPr>
                <w:rFonts w:ascii="宋体" w:hAnsi="宋体" w:eastAsia="宋体" w:cs="宋体"/>
                <w:sz w:val="19"/>
                <w:szCs w:val="19"/>
              </w:rPr>
            </w:pPr>
            <w:r>
              <w:rPr>
                <w:rFonts w:ascii="宋体" w:hAnsi="宋体" w:eastAsia="宋体" w:cs="宋体"/>
                <w:spacing w:val="3"/>
                <w:sz w:val="19"/>
                <w:szCs w:val="19"/>
                <w14:textOutline w14:w="3614" w14:cap="sq" w14:cmpd="sng">
                  <w14:solidFill>
                    <w14:srgbClr w14:val="000000"/>
                  </w14:solidFill>
                  <w14:prstDash w14:val="solid"/>
                  <w14:bevel/>
                </w14:textOutline>
              </w:rPr>
              <w:t>小计</w:t>
            </w:r>
          </w:p>
        </w:tc>
        <w:tc>
          <w:tcPr>
            <w:tcW w:w="1280" w:type="dxa"/>
            <w:vAlign w:val="top"/>
          </w:tcPr>
          <w:p>
            <w:pPr>
              <w:spacing w:before="204" w:line="227" w:lineRule="auto"/>
              <w:ind w:left="228"/>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138" w:type="dxa"/>
            <w:vAlign w:val="top"/>
          </w:tcPr>
          <w:p>
            <w:pPr>
              <w:spacing w:before="203" w:line="229" w:lineRule="auto"/>
              <w:ind w:left="175"/>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c>
          <w:tcPr>
            <w:tcW w:w="1242" w:type="dxa"/>
            <w:vMerge w:val="continue"/>
            <w:tcBorders>
              <w:top w:val="nil"/>
            </w:tcBorders>
            <w:vAlign w:val="top"/>
          </w:tcPr>
          <w:p>
            <w:pPr>
              <w:rPr>
                <w:rFonts w:ascii="Arial"/>
                <w:sz w:val="21"/>
              </w:rPr>
            </w:pPr>
          </w:p>
        </w:tc>
        <w:tc>
          <w:tcPr>
            <w:tcW w:w="1438" w:type="dxa"/>
            <w:vMerge w:val="continue"/>
            <w:tcBorders>
              <w:top w:val="nil"/>
            </w:tcBorders>
            <w:vAlign w:val="top"/>
          </w:tcPr>
          <w:p>
            <w:pPr>
              <w:rPr>
                <w:rFonts w:ascii="Arial"/>
                <w:sz w:val="21"/>
              </w:rPr>
            </w:pPr>
          </w:p>
        </w:tc>
        <w:tc>
          <w:tcPr>
            <w:tcW w:w="653" w:type="dxa"/>
            <w:vMerge w:val="continue"/>
            <w:tcBorders>
              <w:top w:val="nil"/>
            </w:tcBorders>
            <w:vAlign w:val="top"/>
          </w:tcPr>
          <w:p>
            <w:pPr>
              <w:rPr>
                <w:rFonts w:ascii="Arial"/>
                <w:sz w:val="21"/>
              </w:rPr>
            </w:pPr>
          </w:p>
        </w:tc>
        <w:tc>
          <w:tcPr>
            <w:tcW w:w="1425" w:type="dxa"/>
            <w:vMerge w:val="continue"/>
            <w:tcBorders>
              <w:top w:val="nil"/>
            </w:tcBorders>
            <w:vAlign w:val="top"/>
          </w:tcPr>
          <w:p>
            <w:pPr>
              <w:rPr>
                <w:rFonts w:ascii="Arial"/>
                <w:sz w:val="21"/>
              </w:rPr>
            </w:pPr>
          </w:p>
        </w:tc>
        <w:tc>
          <w:tcPr>
            <w:tcW w:w="6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5" w:line="188" w:lineRule="auto"/>
              <w:ind w:left="20"/>
              <w:rPr>
                <w:rFonts w:ascii="Times New Roman" w:hAnsi="Times New Roman" w:eastAsia="Times New Roman" w:cs="Times New Roman"/>
                <w:sz w:val="20"/>
                <w:szCs w:val="20"/>
              </w:rPr>
            </w:pPr>
            <w:bookmarkStart w:id="5" w:name="OLE_LINK2" w:colFirst="2" w:colLast="11"/>
            <w:r>
              <w:rPr>
                <w:rFonts w:ascii="Times New Roman" w:hAnsi="Times New Roman" w:eastAsia="Times New Roman" w:cs="Times New Roman"/>
                <w:b/>
                <w:bCs/>
                <w:spacing w:val="-2"/>
                <w:sz w:val="20"/>
                <w:szCs w:val="20"/>
              </w:rPr>
              <w:t>208</w:t>
            </w:r>
          </w:p>
        </w:tc>
        <w:tc>
          <w:tcPr>
            <w:tcW w:w="1713" w:type="dxa"/>
            <w:vAlign w:val="top"/>
          </w:tcPr>
          <w:p>
            <w:pPr>
              <w:spacing w:before="156" w:line="219" w:lineRule="auto"/>
              <w:ind w:left="20"/>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社会保障和就业支出</w:t>
            </w:r>
          </w:p>
        </w:tc>
        <w:tc>
          <w:tcPr>
            <w:tcW w:w="1189"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1610.45</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1610.45</w:t>
            </w:r>
          </w:p>
        </w:tc>
        <w:tc>
          <w:tcPr>
            <w:tcW w:w="1202"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402.22</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402.22</w:t>
            </w:r>
          </w:p>
        </w:tc>
        <w:tc>
          <w:tcPr>
            <w:tcW w:w="1138" w:type="dxa"/>
            <w:vAlign w:val="bottom"/>
          </w:tcPr>
          <w:p>
            <w:pPr>
              <w:rPr>
                <w:rFonts w:hint="default" w:ascii="Times New Roman" w:hAnsi="Times New Roman" w:cs="Times New Roman"/>
                <w:sz w:val="20"/>
                <w:szCs w:val="20"/>
              </w:rPr>
            </w:pPr>
          </w:p>
        </w:tc>
        <w:tc>
          <w:tcPr>
            <w:tcW w:w="124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402.22</w:t>
            </w:r>
          </w:p>
        </w:tc>
        <w:tc>
          <w:tcPr>
            <w:tcW w:w="1438" w:type="dxa"/>
            <w:vAlign w:val="bottom"/>
          </w:tcPr>
          <w:p>
            <w:pPr>
              <w:keepNext w:val="0"/>
              <w:keepLines w:val="0"/>
              <w:widowControl/>
              <w:suppressLineNumbers w:val="0"/>
              <w:jc w:val="right"/>
              <w:textAlignment w:val="bottom"/>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-1208.23</w:t>
            </w:r>
          </w:p>
        </w:tc>
        <w:tc>
          <w:tcPr>
            <w:tcW w:w="653"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-75.02</w:t>
            </w:r>
          </w:p>
        </w:tc>
        <w:tc>
          <w:tcPr>
            <w:tcW w:w="1425"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-1208.23</w:t>
            </w:r>
          </w:p>
        </w:tc>
        <w:tc>
          <w:tcPr>
            <w:tcW w:w="69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-75.02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072" w:type="dxa"/>
            <w:vAlign w:val="top"/>
          </w:tcPr>
          <w:p>
            <w:pPr>
              <w:spacing w:before="198" w:line="188" w:lineRule="auto"/>
              <w:ind w:left="200"/>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20805</w:t>
            </w:r>
          </w:p>
        </w:tc>
        <w:tc>
          <w:tcPr>
            <w:tcW w:w="1713" w:type="dxa"/>
            <w:vAlign w:val="top"/>
          </w:tcPr>
          <w:p>
            <w:pPr>
              <w:spacing w:before="50" w:line="225" w:lineRule="auto"/>
              <w:ind w:left="19" w:right="58" w:firstLine="182"/>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行政事业单位养老</w:t>
            </w:r>
            <w:r>
              <w:rPr>
                <w:rFonts w:ascii="宋体" w:hAnsi="宋体" w:eastAsia="宋体" w:cs="宋体"/>
                <w:spacing w:val="-4"/>
                <w:sz w:val="20"/>
                <w:szCs w:val="20"/>
                <w14:textOutline w14:w="3268" w14:cap="sq" w14:cmpd="sng">
                  <w14:solidFill>
                    <w14:srgbClr w14:val="000000"/>
                  </w14:solidFill>
                  <w14:prstDash w14:val="solid"/>
                  <w14:bevel/>
                </w14:textOutline>
              </w:rPr>
              <w:t>支出</w:t>
            </w:r>
          </w:p>
        </w:tc>
        <w:tc>
          <w:tcPr>
            <w:tcW w:w="1189"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1610.45</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1610.45</w:t>
            </w:r>
          </w:p>
        </w:tc>
        <w:tc>
          <w:tcPr>
            <w:tcW w:w="1202"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402.22</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402.22</w:t>
            </w:r>
          </w:p>
        </w:tc>
        <w:tc>
          <w:tcPr>
            <w:tcW w:w="1138" w:type="dxa"/>
            <w:vAlign w:val="bottom"/>
          </w:tcPr>
          <w:p>
            <w:pPr>
              <w:rPr>
                <w:rFonts w:hint="default" w:ascii="Times New Roman" w:hAnsi="Times New Roman" w:cs="Times New Roman"/>
                <w:sz w:val="20"/>
                <w:szCs w:val="20"/>
              </w:rPr>
            </w:pPr>
          </w:p>
        </w:tc>
        <w:tc>
          <w:tcPr>
            <w:tcW w:w="124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402.22</w:t>
            </w:r>
          </w:p>
        </w:tc>
        <w:tc>
          <w:tcPr>
            <w:tcW w:w="1438" w:type="dxa"/>
            <w:vAlign w:val="bottom"/>
          </w:tcPr>
          <w:p>
            <w:pPr>
              <w:keepNext w:val="0"/>
              <w:keepLines w:val="0"/>
              <w:widowControl/>
              <w:suppressLineNumbers w:val="0"/>
              <w:jc w:val="right"/>
              <w:textAlignment w:val="bottom"/>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-1208.23</w:t>
            </w:r>
          </w:p>
        </w:tc>
        <w:tc>
          <w:tcPr>
            <w:tcW w:w="653"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-75.02</w:t>
            </w:r>
          </w:p>
        </w:tc>
        <w:tc>
          <w:tcPr>
            <w:tcW w:w="1425"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-1208.23</w:t>
            </w:r>
          </w:p>
        </w:tc>
        <w:tc>
          <w:tcPr>
            <w:tcW w:w="69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-75.02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1072" w:type="dxa"/>
            <w:vAlign w:val="top"/>
          </w:tcPr>
          <w:p>
            <w:pPr>
              <w:spacing w:line="267" w:lineRule="auto"/>
              <w:rPr>
                <w:rFonts w:ascii="Arial"/>
                <w:sz w:val="20"/>
                <w:szCs w:val="20"/>
              </w:rPr>
            </w:pPr>
          </w:p>
          <w:p>
            <w:pPr>
              <w:spacing w:before="52" w:line="188" w:lineRule="auto"/>
              <w:ind w:right="12"/>
              <w:jc w:val="right"/>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2080505</w:t>
            </w:r>
          </w:p>
        </w:tc>
        <w:tc>
          <w:tcPr>
            <w:tcW w:w="1713" w:type="dxa"/>
            <w:vAlign w:val="top"/>
          </w:tcPr>
          <w:p>
            <w:pPr>
              <w:spacing w:before="50" w:line="232" w:lineRule="auto"/>
              <w:ind w:right="68"/>
              <w:jc w:val="both"/>
              <w:rPr>
                <w:rFonts w:ascii="宋体" w:hAnsi="宋体" w:eastAsia="宋体" w:cs="宋体"/>
                <w:sz w:val="20"/>
                <w:szCs w:val="20"/>
              </w:rPr>
            </w:pPr>
            <w:r>
              <w:rPr>
                <w:rFonts w:ascii="宋体" w:hAnsi="宋体" w:eastAsia="宋体" w:cs="宋体"/>
                <w:spacing w:val="-1"/>
                <w:sz w:val="20"/>
                <w:szCs w:val="20"/>
              </w:rPr>
              <w:t>机关事业单位基</w:t>
            </w:r>
            <w:r>
              <w:rPr>
                <w:rFonts w:ascii="宋体" w:hAnsi="宋体" w:eastAsia="宋体" w:cs="宋体"/>
                <w:spacing w:val="-2"/>
                <w:sz w:val="20"/>
                <w:szCs w:val="20"/>
              </w:rPr>
              <w:t>本养老保险缴费</w:t>
            </w:r>
            <w:r>
              <w:rPr>
                <w:rFonts w:ascii="宋体" w:hAnsi="宋体" w:eastAsia="宋体" w:cs="宋体"/>
                <w:spacing w:val="-4"/>
                <w:sz w:val="20"/>
                <w:szCs w:val="20"/>
              </w:rPr>
              <w:t>支出</w:t>
            </w:r>
          </w:p>
        </w:tc>
        <w:tc>
          <w:tcPr>
            <w:tcW w:w="1189"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1081.09</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1081.09</w:t>
            </w:r>
          </w:p>
        </w:tc>
        <w:tc>
          <w:tcPr>
            <w:tcW w:w="1202"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255.44</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255.44</w:t>
            </w:r>
          </w:p>
        </w:tc>
        <w:tc>
          <w:tcPr>
            <w:tcW w:w="1138" w:type="dxa"/>
            <w:vAlign w:val="bottom"/>
          </w:tcPr>
          <w:p>
            <w:pPr>
              <w:rPr>
                <w:rFonts w:hint="default" w:ascii="Times New Roman" w:hAnsi="Times New Roman" w:eastAsia="宋体" w:cs="Times New Roman"/>
                <w:spacing w:val="-2"/>
                <w:sz w:val="20"/>
                <w:szCs w:val="20"/>
                <w:lang w:val="en-US" w:eastAsia="zh-CN"/>
              </w:rPr>
            </w:pPr>
          </w:p>
        </w:tc>
        <w:tc>
          <w:tcPr>
            <w:tcW w:w="1242" w:type="dxa"/>
            <w:vAlign w:val="bottom"/>
          </w:tcPr>
          <w:p>
            <w:pPr>
              <w:keepNext w:val="0"/>
              <w:keepLines w:val="0"/>
              <w:widowControl/>
              <w:suppressLineNumbers w:val="0"/>
              <w:jc w:val="right"/>
              <w:textAlignment w:val="bottom"/>
              <w:rPr>
                <w:rFonts w:hint="default" w:ascii="Times New Roman" w:hAnsi="Times New Roman" w:eastAsia="宋体" w:cs="Times New Roman"/>
                <w:spacing w:val="-1"/>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255.44</w:t>
            </w:r>
          </w:p>
        </w:tc>
        <w:tc>
          <w:tcPr>
            <w:tcW w:w="1438" w:type="dxa"/>
            <w:vAlign w:val="bottom"/>
          </w:tcPr>
          <w:p>
            <w:pPr>
              <w:keepNext w:val="0"/>
              <w:keepLines w:val="0"/>
              <w:widowControl/>
              <w:suppressLineNumbers w:val="0"/>
              <w:jc w:val="right"/>
              <w:textAlignment w:val="bottom"/>
              <w:rPr>
                <w:rFonts w:hint="default" w:ascii="Times New Roman" w:hAnsi="Times New Roman" w:eastAsia="宋体" w:cs="Times New Roman"/>
                <w:spacing w:val="-1"/>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-825.65</w:t>
            </w:r>
          </w:p>
        </w:tc>
        <w:tc>
          <w:tcPr>
            <w:tcW w:w="653" w:type="dxa"/>
            <w:vAlign w:val="bottom"/>
          </w:tcPr>
          <w:p>
            <w:pPr>
              <w:keepNext w:val="0"/>
              <w:keepLines w:val="0"/>
              <w:widowControl/>
              <w:suppressLineNumbers w:val="0"/>
              <w:jc w:val="right"/>
              <w:textAlignment w:val="bottom"/>
              <w:rPr>
                <w:rFonts w:hint="default" w:ascii="Times New Roman" w:hAnsi="Times New Roman" w:eastAsia="宋体" w:cs="Times New Roman"/>
                <w:spacing w:val="-1"/>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-76.37</w:t>
            </w:r>
          </w:p>
        </w:tc>
        <w:tc>
          <w:tcPr>
            <w:tcW w:w="1425" w:type="dxa"/>
            <w:vAlign w:val="bottom"/>
          </w:tcPr>
          <w:p>
            <w:pPr>
              <w:keepNext w:val="0"/>
              <w:keepLines w:val="0"/>
              <w:widowControl/>
              <w:suppressLineNumbers w:val="0"/>
              <w:jc w:val="right"/>
              <w:textAlignment w:val="bottom"/>
              <w:rPr>
                <w:rFonts w:hint="default" w:ascii="Times New Roman" w:hAnsi="Times New Roman" w:eastAsia="宋体" w:cs="Times New Roman"/>
                <w:spacing w:val="-1"/>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-825.65</w:t>
            </w:r>
          </w:p>
        </w:tc>
        <w:tc>
          <w:tcPr>
            <w:tcW w:w="692" w:type="dxa"/>
            <w:vAlign w:val="bottom"/>
          </w:tcPr>
          <w:p>
            <w:pPr>
              <w:keepNext w:val="0"/>
              <w:keepLines w:val="0"/>
              <w:widowControl/>
              <w:suppressLineNumbers w:val="0"/>
              <w:jc w:val="right"/>
              <w:textAlignment w:val="bottom"/>
              <w:rPr>
                <w:rFonts w:hint="default" w:ascii="Times New Roman" w:hAnsi="Times New Roman" w:eastAsia="宋体" w:cs="Times New Roman"/>
                <w:spacing w:val="-1"/>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-76.37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072" w:type="dxa"/>
            <w:vAlign w:val="top"/>
          </w:tcPr>
          <w:p>
            <w:pPr>
              <w:spacing w:before="201" w:line="188" w:lineRule="auto"/>
              <w:ind w:right="12"/>
              <w:jc w:val="right"/>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2080506</w:t>
            </w:r>
          </w:p>
        </w:tc>
        <w:tc>
          <w:tcPr>
            <w:tcW w:w="1713" w:type="dxa"/>
            <w:vAlign w:val="top"/>
          </w:tcPr>
          <w:p>
            <w:pPr>
              <w:spacing w:before="51" w:line="225" w:lineRule="auto"/>
              <w:ind w:right="68"/>
              <w:rPr>
                <w:rFonts w:ascii="宋体" w:hAnsi="宋体" w:eastAsia="宋体" w:cs="宋体"/>
                <w:sz w:val="20"/>
                <w:szCs w:val="20"/>
              </w:rPr>
            </w:pPr>
            <w:r>
              <w:rPr>
                <w:rFonts w:ascii="宋体" w:hAnsi="宋体" w:eastAsia="宋体" w:cs="宋体"/>
                <w:spacing w:val="-1"/>
                <w:sz w:val="20"/>
                <w:szCs w:val="20"/>
              </w:rPr>
              <w:t>机关事业单位职业年金缴费支出</w:t>
            </w:r>
          </w:p>
        </w:tc>
        <w:tc>
          <w:tcPr>
            <w:tcW w:w="1189"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529.36</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529.36</w:t>
            </w:r>
          </w:p>
        </w:tc>
        <w:tc>
          <w:tcPr>
            <w:tcW w:w="1202"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146.78</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146.78</w:t>
            </w:r>
          </w:p>
        </w:tc>
        <w:tc>
          <w:tcPr>
            <w:tcW w:w="1138" w:type="dxa"/>
            <w:vAlign w:val="bottom"/>
          </w:tcPr>
          <w:p>
            <w:pPr>
              <w:rPr>
                <w:rFonts w:hint="default" w:ascii="Times New Roman" w:hAnsi="Times New Roman" w:eastAsia="宋体" w:cs="Times New Roman"/>
                <w:spacing w:val="-2"/>
                <w:sz w:val="20"/>
                <w:szCs w:val="20"/>
                <w:lang w:val="en-US" w:eastAsia="zh-CN"/>
              </w:rPr>
            </w:pPr>
          </w:p>
        </w:tc>
        <w:tc>
          <w:tcPr>
            <w:tcW w:w="1242"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146.78</w:t>
            </w:r>
          </w:p>
        </w:tc>
        <w:tc>
          <w:tcPr>
            <w:tcW w:w="1438"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-382.58</w:t>
            </w:r>
          </w:p>
        </w:tc>
        <w:tc>
          <w:tcPr>
            <w:tcW w:w="653"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-72.27</w:t>
            </w:r>
          </w:p>
        </w:tc>
        <w:tc>
          <w:tcPr>
            <w:tcW w:w="1425"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-382.58</w:t>
            </w:r>
          </w:p>
        </w:tc>
        <w:tc>
          <w:tcPr>
            <w:tcW w:w="692"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-72.27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8" w:line="188" w:lineRule="auto"/>
              <w:ind w:left="20"/>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210</w:t>
            </w:r>
          </w:p>
        </w:tc>
        <w:tc>
          <w:tcPr>
            <w:tcW w:w="1713" w:type="dxa"/>
            <w:vAlign w:val="top"/>
          </w:tcPr>
          <w:p>
            <w:pPr>
              <w:spacing w:before="159" w:line="219" w:lineRule="auto"/>
              <w:ind w:left="20"/>
              <w:rPr>
                <w:rFonts w:ascii="宋体" w:hAnsi="宋体" w:eastAsia="宋体" w:cs="宋体"/>
                <w:sz w:val="20"/>
                <w:szCs w:val="20"/>
              </w:rPr>
            </w:pPr>
            <w:r>
              <w:rPr>
                <w:rFonts w:ascii="宋体" w:hAnsi="宋体" w:eastAsia="宋体" w:cs="宋体"/>
                <w:spacing w:val="-2"/>
                <w:sz w:val="20"/>
                <w:szCs w:val="20"/>
                <w14:textOutline w14:w="3268" w14:cap="sq" w14:cmpd="sng">
                  <w14:solidFill>
                    <w14:srgbClr w14:val="000000"/>
                  </w14:solidFill>
                  <w14:prstDash w14:val="solid"/>
                  <w14:bevel/>
                </w14:textOutline>
              </w:rPr>
              <w:t>卫生健康支出</w:t>
            </w:r>
          </w:p>
        </w:tc>
        <w:tc>
          <w:tcPr>
            <w:tcW w:w="1189"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580.37</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580.37</w:t>
            </w:r>
          </w:p>
        </w:tc>
        <w:tc>
          <w:tcPr>
            <w:tcW w:w="120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498.57</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498.57</w:t>
            </w:r>
          </w:p>
        </w:tc>
        <w:tc>
          <w:tcPr>
            <w:tcW w:w="1138" w:type="dxa"/>
            <w:vAlign w:val="bottom"/>
          </w:tcPr>
          <w:p>
            <w:pPr>
              <w:rPr>
                <w:rFonts w:hint="default" w:ascii="Times New Roman" w:hAnsi="Times New Roman" w:cs="Times New Roman"/>
                <w:sz w:val="20"/>
                <w:szCs w:val="20"/>
              </w:rPr>
            </w:pPr>
          </w:p>
        </w:tc>
        <w:tc>
          <w:tcPr>
            <w:tcW w:w="1242" w:type="dxa"/>
            <w:vAlign w:val="bottom"/>
          </w:tcPr>
          <w:p>
            <w:pPr>
              <w:keepNext w:val="0"/>
              <w:keepLines w:val="0"/>
              <w:widowControl/>
              <w:suppressLineNumbers w:val="0"/>
              <w:jc w:val="right"/>
              <w:textAlignment w:val="bottom"/>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498.57</w:t>
            </w:r>
          </w:p>
        </w:tc>
        <w:tc>
          <w:tcPr>
            <w:tcW w:w="1438"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-81.8</w:t>
            </w:r>
          </w:p>
        </w:tc>
        <w:tc>
          <w:tcPr>
            <w:tcW w:w="653"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-14.09</w:t>
            </w:r>
          </w:p>
        </w:tc>
        <w:tc>
          <w:tcPr>
            <w:tcW w:w="1425"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-81.8</w:t>
            </w:r>
          </w:p>
        </w:tc>
        <w:tc>
          <w:tcPr>
            <w:tcW w:w="69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-14.09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9" w:line="188" w:lineRule="auto"/>
              <w:ind w:left="200"/>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21011</w:t>
            </w:r>
          </w:p>
        </w:tc>
        <w:tc>
          <w:tcPr>
            <w:tcW w:w="1713" w:type="dxa"/>
            <w:vAlign w:val="top"/>
          </w:tcPr>
          <w:p>
            <w:pPr>
              <w:spacing w:before="157" w:line="220" w:lineRule="auto"/>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行政事业单位医疗</w:t>
            </w:r>
          </w:p>
        </w:tc>
        <w:tc>
          <w:tcPr>
            <w:tcW w:w="1189"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580.37</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580.37</w:t>
            </w:r>
          </w:p>
        </w:tc>
        <w:tc>
          <w:tcPr>
            <w:tcW w:w="120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498.57</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498.57</w:t>
            </w:r>
          </w:p>
        </w:tc>
        <w:tc>
          <w:tcPr>
            <w:tcW w:w="1138" w:type="dxa"/>
            <w:vAlign w:val="bottom"/>
          </w:tcPr>
          <w:p>
            <w:pPr>
              <w:rPr>
                <w:rFonts w:hint="default" w:ascii="Times New Roman" w:hAnsi="Times New Roman" w:cs="Times New Roman"/>
                <w:sz w:val="20"/>
                <w:szCs w:val="20"/>
              </w:rPr>
            </w:pPr>
          </w:p>
        </w:tc>
        <w:tc>
          <w:tcPr>
            <w:tcW w:w="1242" w:type="dxa"/>
            <w:vAlign w:val="bottom"/>
          </w:tcPr>
          <w:p>
            <w:pPr>
              <w:keepNext w:val="0"/>
              <w:keepLines w:val="0"/>
              <w:widowControl/>
              <w:suppressLineNumbers w:val="0"/>
              <w:jc w:val="right"/>
              <w:textAlignment w:val="bottom"/>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498.57</w:t>
            </w:r>
          </w:p>
        </w:tc>
        <w:tc>
          <w:tcPr>
            <w:tcW w:w="1438"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-81.8</w:t>
            </w:r>
          </w:p>
        </w:tc>
        <w:tc>
          <w:tcPr>
            <w:tcW w:w="653"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-14.09</w:t>
            </w:r>
          </w:p>
        </w:tc>
        <w:tc>
          <w:tcPr>
            <w:tcW w:w="1425"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-81.8</w:t>
            </w:r>
          </w:p>
        </w:tc>
        <w:tc>
          <w:tcPr>
            <w:tcW w:w="69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-14.09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072" w:type="dxa"/>
            <w:vAlign w:val="top"/>
          </w:tcPr>
          <w:p>
            <w:pPr>
              <w:spacing w:before="187" w:line="188" w:lineRule="auto"/>
              <w:ind w:right="12"/>
              <w:jc w:val="right"/>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2101101</w:t>
            </w:r>
          </w:p>
        </w:tc>
        <w:tc>
          <w:tcPr>
            <w:tcW w:w="1713" w:type="dxa"/>
            <w:vAlign w:val="top"/>
          </w:tcPr>
          <w:p>
            <w:pPr>
              <w:spacing w:before="158" w:line="220" w:lineRule="auto"/>
              <w:rPr>
                <w:rFonts w:ascii="宋体" w:hAnsi="宋体" w:eastAsia="宋体" w:cs="宋体"/>
                <w:sz w:val="20"/>
                <w:szCs w:val="20"/>
              </w:rPr>
            </w:pPr>
            <w:r>
              <w:rPr>
                <w:rFonts w:ascii="宋体" w:hAnsi="宋体" w:eastAsia="宋体" w:cs="宋体"/>
                <w:spacing w:val="-2"/>
                <w:sz w:val="20"/>
                <w:szCs w:val="20"/>
              </w:rPr>
              <w:t>行政单位医疗</w:t>
            </w:r>
          </w:p>
        </w:tc>
        <w:tc>
          <w:tcPr>
            <w:tcW w:w="1189"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430.37</w:t>
            </w:r>
          </w:p>
        </w:tc>
        <w:tc>
          <w:tcPr>
            <w:tcW w:w="1294"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430.37</w:t>
            </w:r>
          </w:p>
        </w:tc>
        <w:tc>
          <w:tcPr>
            <w:tcW w:w="1202"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403.57</w:t>
            </w:r>
          </w:p>
        </w:tc>
        <w:tc>
          <w:tcPr>
            <w:tcW w:w="1280"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403.57</w:t>
            </w:r>
          </w:p>
        </w:tc>
        <w:tc>
          <w:tcPr>
            <w:tcW w:w="1138" w:type="dxa"/>
            <w:vAlign w:val="bottom"/>
          </w:tcPr>
          <w:p>
            <w:pPr>
              <w:rPr>
                <w:rFonts w:hint="default" w:ascii="Times New Roman" w:hAnsi="Times New Roman" w:eastAsia="宋体" w:cs="Times New Roman"/>
                <w:spacing w:val="-2"/>
                <w:sz w:val="20"/>
                <w:szCs w:val="20"/>
                <w:lang w:val="en-US" w:eastAsia="zh-CN"/>
              </w:rPr>
            </w:pPr>
          </w:p>
        </w:tc>
        <w:tc>
          <w:tcPr>
            <w:tcW w:w="1242"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403.57</w:t>
            </w:r>
          </w:p>
        </w:tc>
        <w:tc>
          <w:tcPr>
            <w:tcW w:w="1438"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-26.8</w:t>
            </w:r>
          </w:p>
        </w:tc>
        <w:tc>
          <w:tcPr>
            <w:tcW w:w="653" w:type="dxa"/>
            <w:vAlign w:val="bottom"/>
          </w:tcPr>
          <w:p>
            <w:pPr>
              <w:keepNext w:val="0"/>
              <w:keepLines w:val="0"/>
              <w:widowControl/>
              <w:suppressLineNumbers w:val="0"/>
              <w:jc w:val="right"/>
              <w:textAlignment w:val="bottom"/>
              <w:rPr>
                <w:rFonts w:hint="default" w:ascii="Times New Roman" w:hAnsi="Times New Roman" w:eastAsia="宋体" w:cs="Times New Roman"/>
                <w:i w:val="0"/>
                <w:iCs w:val="0"/>
                <w:snapToGrid w:val="0"/>
                <w:color w:val="000000"/>
                <w:kern w:val="0"/>
                <w:sz w:val="20"/>
                <w:szCs w:val="20"/>
                <w:u w:val="none"/>
                <w:lang w:val="en-US" w:eastAsia="zh-CN" w:bidi="ar-SA"/>
              </w:rPr>
            </w:pPr>
            <w:r>
              <w:rPr>
                <w:rFonts w:hint="default" w:ascii="Times New Roman" w:hAnsi="Times New Roman" w:eastAsia="宋体" w:cs="Times New Roman"/>
                <w:i w:val="0"/>
                <w:snapToGrid w:val="0"/>
                <w:color w:val="000000"/>
                <w:kern w:val="0"/>
                <w:sz w:val="20"/>
                <w:szCs w:val="20"/>
                <w:u w:val="none"/>
                <w:lang w:val="en-US" w:eastAsia="zh-CN" w:bidi="ar"/>
              </w:rPr>
              <w:t>-6.23</w:t>
            </w:r>
          </w:p>
        </w:tc>
        <w:tc>
          <w:tcPr>
            <w:tcW w:w="1425" w:type="dxa"/>
            <w:vAlign w:val="bottom"/>
          </w:tcPr>
          <w:p>
            <w:pPr>
              <w:keepNext w:val="0"/>
              <w:keepLines w:val="0"/>
              <w:widowControl/>
              <w:suppressLineNumbers w:val="0"/>
              <w:jc w:val="right"/>
              <w:textAlignment w:val="bottom"/>
              <w:rPr>
                <w:rFonts w:hint="default" w:ascii="Times New Roman" w:hAnsi="Times New Roman" w:eastAsia="宋体" w:cs="Times New Roman"/>
                <w:snapToGrid w:val="0"/>
                <w:color w:val="000000"/>
                <w:spacing w:val="-2"/>
                <w:kern w:val="0"/>
                <w:sz w:val="20"/>
                <w:szCs w:val="20"/>
                <w:lang w:val="en-US" w:eastAsia="zh-CN" w:bidi="ar-SA"/>
              </w:rPr>
            </w:pPr>
            <w:r>
              <w:rPr>
                <w:rFonts w:hint="default" w:ascii="Times New Roman" w:hAnsi="Times New Roman" w:eastAsia="宋体" w:cs="Times New Roman"/>
                <w:i w:val="0"/>
                <w:snapToGrid w:val="0"/>
                <w:color w:val="000000"/>
                <w:kern w:val="0"/>
                <w:sz w:val="20"/>
                <w:szCs w:val="20"/>
                <w:u w:val="none"/>
                <w:lang w:val="en-US" w:eastAsia="zh-CN" w:bidi="ar"/>
              </w:rPr>
              <w:t>-26.8</w:t>
            </w:r>
          </w:p>
        </w:tc>
        <w:tc>
          <w:tcPr>
            <w:tcW w:w="692" w:type="dxa"/>
            <w:vAlign w:val="bottom"/>
          </w:tcPr>
          <w:p>
            <w:pPr>
              <w:keepNext w:val="0"/>
              <w:keepLines w:val="0"/>
              <w:widowControl/>
              <w:suppressLineNumbers w:val="0"/>
              <w:jc w:val="right"/>
              <w:textAlignment w:val="bottom"/>
              <w:rPr>
                <w:rFonts w:hint="default" w:ascii="Times New Roman" w:hAnsi="Times New Roman" w:eastAsia="宋体" w:cs="Times New Roman"/>
                <w:i w:val="0"/>
                <w:iCs w:val="0"/>
                <w:snapToGrid w:val="0"/>
                <w:color w:val="000000"/>
                <w:kern w:val="0"/>
                <w:sz w:val="20"/>
                <w:szCs w:val="20"/>
                <w:u w:val="none"/>
                <w:lang w:val="en-US" w:eastAsia="zh-CN" w:bidi="ar-SA"/>
              </w:rPr>
            </w:pPr>
            <w:r>
              <w:rPr>
                <w:rFonts w:hint="default" w:ascii="Times New Roman" w:hAnsi="Times New Roman" w:eastAsia="宋体" w:cs="Times New Roman"/>
                <w:i w:val="0"/>
                <w:snapToGrid w:val="0"/>
                <w:color w:val="000000"/>
                <w:kern w:val="0"/>
                <w:sz w:val="20"/>
                <w:szCs w:val="20"/>
                <w:u w:val="none"/>
                <w:lang w:val="en-US" w:eastAsia="zh-CN" w:bidi="ar"/>
              </w:rPr>
              <w:t>-6.23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72" w:type="dxa"/>
            <w:vAlign w:val="top"/>
          </w:tcPr>
          <w:p>
            <w:pPr>
              <w:spacing w:before="200" w:line="188" w:lineRule="auto"/>
              <w:ind w:right="12"/>
              <w:jc w:val="right"/>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2101199</w:t>
            </w:r>
          </w:p>
        </w:tc>
        <w:tc>
          <w:tcPr>
            <w:tcW w:w="1713" w:type="dxa"/>
            <w:vAlign w:val="top"/>
          </w:tcPr>
          <w:p>
            <w:pPr>
              <w:spacing w:before="51" w:line="225" w:lineRule="auto"/>
              <w:ind w:right="68"/>
              <w:rPr>
                <w:rFonts w:ascii="宋体" w:hAnsi="宋体" w:eastAsia="宋体" w:cs="宋体"/>
                <w:sz w:val="20"/>
                <w:szCs w:val="20"/>
              </w:rPr>
            </w:pPr>
            <w:r>
              <w:rPr>
                <w:rFonts w:ascii="宋体" w:hAnsi="宋体" w:eastAsia="宋体" w:cs="宋体"/>
                <w:spacing w:val="-2"/>
                <w:sz w:val="20"/>
                <w:szCs w:val="20"/>
              </w:rPr>
              <w:t>其他行政事业单位医疗支出</w:t>
            </w:r>
          </w:p>
        </w:tc>
        <w:tc>
          <w:tcPr>
            <w:tcW w:w="1189"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150</w:t>
            </w:r>
          </w:p>
        </w:tc>
        <w:tc>
          <w:tcPr>
            <w:tcW w:w="1294"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150</w:t>
            </w:r>
          </w:p>
        </w:tc>
        <w:tc>
          <w:tcPr>
            <w:tcW w:w="1202"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95</w:t>
            </w:r>
          </w:p>
        </w:tc>
        <w:tc>
          <w:tcPr>
            <w:tcW w:w="1280"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95</w:t>
            </w:r>
          </w:p>
        </w:tc>
        <w:tc>
          <w:tcPr>
            <w:tcW w:w="1138" w:type="dxa"/>
            <w:vAlign w:val="bottom"/>
          </w:tcPr>
          <w:p>
            <w:pPr>
              <w:rPr>
                <w:rFonts w:hint="default" w:ascii="Times New Roman" w:hAnsi="Times New Roman" w:eastAsia="宋体" w:cs="Times New Roman"/>
                <w:spacing w:val="-2"/>
                <w:sz w:val="20"/>
                <w:szCs w:val="20"/>
                <w:lang w:val="en-US" w:eastAsia="zh-CN"/>
              </w:rPr>
            </w:pPr>
          </w:p>
        </w:tc>
        <w:tc>
          <w:tcPr>
            <w:tcW w:w="1242" w:type="dxa"/>
            <w:vAlign w:val="bottom"/>
          </w:tcPr>
          <w:p>
            <w:pPr>
              <w:keepNext w:val="0"/>
              <w:keepLines w:val="0"/>
              <w:widowControl/>
              <w:suppressLineNumbers w:val="0"/>
              <w:jc w:val="right"/>
              <w:textAlignment w:val="bottom"/>
              <w:rPr>
                <w:rFonts w:hint="default" w:ascii="Times New Roman" w:hAnsi="Times New Roman" w:eastAsia="宋体" w:cs="Times New Roman"/>
                <w:snapToGrid w:val="0"/>
                <w:color w:val="000000"/>
                <w:spacing w:val="-2"/>
                <w:kern w:val="0"/>
                <w:sz w:val="20"/>
                <w:szCs w:val="20"/>
                <w:lang w:val="en-US" w:eastAsia="zh-CN" w:bidi="ar-SA"/>
              </w:rPr>
            </w:pPr>
            <w:r>
              <w:rPr>
                <w:rFonts w:hint="default" w:ascii="Times New Roman" w:hAnsi="Times New Roman" w:eastAsia="宋体" w:cs="Times New Roman"/>
                <w:i w:val="0"/>
                <w:snapToGrid w:val="0"/>
                <w:color w:val="000000"/>
                <w:kern w:val="0"/>
                <w:sz w:val="20"/>
                <w:szCs w:val="20"/>
                <w:u w:val="none"/>
                <w:lang w:val="en-US" w:eastAsia="zh-CN" w:bidi="ar"/>
              </w:rPr>
              <w:t>95</w:t>
            </w:r>
          </w:p>
        </w:tc>
        <w:tc>
          <w:tcPr>
            <w:tcW w:w="1438" w:type="dxa"/>
            <w:vAlign w:val="bottom"/>
          </w:tcPr>
          <w:p>
            <w:pPr>
              <w:keepNext w:val="0"/>
              <w:keepLines w:val="0"/>
              <w:widowControl/>
              <w:suppressLineNumbers w:val="0"/>
              <w:jc w:val="right"/>
              <w:textAlignment w:val="bottom"/>
              <w:rPr>
                <w:rFonts w:hint="default" w:ascii="Times New Roman" w:hAnsi="Times New Roman" w:eastAsia="宋体" w:cs="Times New Roman"/>
                <w:snapToGrid w:val="0"/>
                <w:color w:val="000000"/>
                <w:spacing w:val="-2"/>
                <w:kern w:val="0"/>
                <w:sz w:val="20"/>
                <w:szCs w:val="20"/>
                <w:lang w:val="en-US" w:eastAsia="zh-CN" w:bidi="ar-SA"/>
              </w:rPr>
            </w:pPr>
            <w:r>
              <w:rPr>
                <w:rFonts w:hint="default" w:ascii="Times New Roman" w:hAnsi="Times New Roman" w:eastAsia="宋体" w:cs="Times New Roman"/>
                <w:i w:val="0"/>
                <w:snapToGrid w:val="0"/>
                <w:color w:val="000000"/>
                <w:kern w:val="0"/>
                <w:sz w:val="20"/>
                <w:szCs w:val="20"/>
                <w:u w:val="none"/>
                <w:lang w:val="en-US" w:eastAsia="zh-CN" w:bidi="ar"/>
              </w:rPr>
              <w:t>-55</w:t>
            </w:r>
          </w:p>
        </w:tc>
        <w:tc>
          <w:tcPr>
            <w:tcW w:w="653"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-36.67</w:t>
            </w:r>
          </w:p>
        </w:tc>
        <w:tc>
          <w:tcPr>
            <w:tcW w:w="1425"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-55</w:t>
            </w:r>
          </w:p>
        </w:tc>
        <w:tc>
          <w:tcPr>
            <w:tcW w:w="692" w:type="dxa"/>
            <w:vAlign w:val="bottom"/>
          </w:tcPr>
          <w:p>
            <w:pPr>
              <w:keepNext w:val="0"/>
              <w:keepLines w:val="0"/>
              <w:widowControl/>
              <w:suppressLineNumbers w:val="0"/>
              <w:jc w:val="right"/>
              <w:textAlignment w:val="bottom"/>
              <w:rPr>
                <w:rFonts w:hint="default" w:ascii="Times New Roman" w:hAnsi="Times New Roman" w:eastAsia="宋体" w:cs="Times New Roman"/>
                <w:spacing w:val="-2"/>
                <w:sz w:val="20"/>
                <w:szCs w:val="20"/>
                <w:lang w:val="en-US" w:eastAsia="zh-CN"/>
              </w:rPr>
            </w:pPr>
            <w:r>
              <w:rPr>
                <w:rFonts w:hint="default" w:ascii="Times New Roman" w:hAnsi="Times New Roman" w:eastAsia="宋体" w:cs="Times New Roman"/>
                <w:i w:val="0"/>
                <w:snapToGrid w:val="0"/>
                <w:color w:val="000000"/>
                <w:kern w:val="0"/>
                <w:sz w:val="20"/>
                <w:szCs w:val="20"/>
                <w:u w:val="none"/>
                <w:lang w:val="en-US" w:eastAsia="zh-CN" w:bidi="ar"/>
              </w:rPr>
              <w:t>-36.67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7" w:line="188" w:lineRule="auto"/>
              <w:ind w:left="20"/>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221</w:t>
            </w:r>
          </w:p>
        </w:tc>
        <w:tc>
          <w:tcPr>
            <w:tcW w:w="1713" w:type="dxa"/>
            <w:vAlign w:val="top"/>
          </w:tcPr>
          <w:p>
            <w:pPr>
              <w:spacing w:before="159" w:line="219" w:lineRule="auto"/>
              <w:ind w:left="18"/>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住房保障支出</w:t>
            </w:r>
          </w:p>
        </w:tc>
        <w:tc>
          <w:tcPr>
            <w:tcW w:w="1189"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 xml:space="preserve"> 262.80 </w:t>
            </w:r>
          </w:p>
        </w:tc>
        <w:tc>
          <w:tcPr>
            <w:tcW w:w="129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 xml:space="preserve"> 262.80 </w:t>
            </w:r>
          </w:p>
        </w:tc>
        <w:tc>
          <w:tcPr>
            <w:tcW w:w="120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260</w:t>
            </w:r>
          </w:p>
        </w:tc>
        <w:tc>
          <w:tcPr>
            <w:tcW w:w="12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260</w:t>
            </w:r>
          </w:p>
        </w:tc>
        <w:tc>
          <w:tcPr>
            <w:tcW w:w="1138" w:type="dxa"/>
            <w:vAlign w:val="bottom"/>
          </w:tcPr>
          <w:p>
            <w:pPr>
              <w:rPr>
                <w:rFonts w:hint="default" w:ascii="Times New Roman" w:hAnsi="Times New Roman" w:cs="Times New Roman"/>
                <w:sz w:val="20"/>
                <w:szCs w:val="20"/>
              </w:rPr>
            </w:pPr>
          </w:p>
        </w:tc>
        <w:tc>
          <w:tcPr>
            <w:tcW w:w="124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260</w:t>
            </w:r>
          </w:p>
        </w:tc>
        <w:tc>
          <w:tcPr>
            <w:tcW w:w="1438"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-2.8</w:t>
            </w:r>
          </w:p>
        </w:tc>
        <w:tc>
          <w:tcPr>
            <w:tcW w:w="653"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w:t>
            </w:r>
          </w:p>
        </w:tc>
        <w:tc>
          <w:tcPr>
            <w:tcW w:w="1425" w:type="dxa"/>
            <w:vAlign w:val="bottom"/>
          </w:tcPr>
          <w:p>
            <w:pPr>
              <w:keepNext w:val="0"/>
              <w:keepLines w:val="0"/>
              <w:widowControl/>
              <w:suppressLineNumbers w:val="0"/>
              <w:jc w:val="right"/>
              <w:textAlignment w:val="bottom"/>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i w:val="0"/>
                <w:snapToGrid w:val="0"/>
                <w:color w:val="000000"/>
                <w:kern w:val="0"/>
                <w:sz w:val="20"/>
                <w:szCs w:val="20"/>
                <w:u w:val="none"/>
                <w:lang w:val="en-US" w:eastAsia="zh-CN" w:bidi="ar"/>
              </w:rPr>
              <w:t>-2.8</w:t>
            </w:r>
          </w:p>
        </w:tc>
        <w:tc>
          <w:tcPr>
            <w:tcW w:w="692"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w:t>
            </w:r>
          </w:p>
        </w:tc>
      </w:tr>
      <w:bookmarkEnd w:id="5"/>
    </w:tbl>
    <w:p>
      <w:pPr>
        <w:pStyle w:val="2"/>
        <w:ind w:left="0" w:leftChars="0" w:firstLine="0" w:firstLineChars="0"/>
        <w:jc w:val="center"/>
        <w:rPr>
          <w:rFonts w:hint="default"/>
          <w:lang w:val="en-US"/>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bookmarkEnd w:id="4"/>
    <w:tbl>
      <w:tblPr>
        <w:tblStyle w:val="8"/>
        <w:tblpPr w:leftFromText="180" w:rightFromText="180" w:vertAnchor="text" w:horzAnchor="page" w:tblpX="1336" w:tblpY="427"/>
        <w:tblOverlap w:val="never"/>
        <w:tblW w:w="1448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1700"/>
        <w:gridCol w:w="1247"/>
        <w:gridCol w:w="1247"/>
        <w:gridCol w:w="1247"/>
        <w:gridCol w:w="1246"/>
        <w:gridCol w:w="1134"/>
        <w:gridCol w:w="1247"/>
        <w:gridCol w:w="1416"/>
        <w:gridCol w:w="680"/>
        <w:gridCol w:w="1416"/>
        <w:gridCol w:w="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2724" w:type="dxa"/>
            <w:gridSpan w:val="2"/>
            <w:vAlign w:val="top"/>
          </w:tcPr>
          <w:p>
            <w:pPr>
              <w:spacing w:line="327" w:lineRule="auto"/>
              <w:rPr>
                <w:rFonts w:ascii="Arial"/>
                <w:sz w:val="21"/>
              </w:rPr>
            </w:pPr>
          </w:p>
          <w:p>
            <w:pPr>
              <w:spacing w:before="62" w:line="227" w:lineRule="auto"/>
              <w:ind w:left="77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功能分类科目</w:t>
            </w:r>
          </w:p>
        </w:tc>
        <w:tc>
          <w:tcPr>
            <w:tcW w:w="2494" w:type="dxa"/>
            <w:gridSpan w:val="2"/>
            <w:vAlign w:val="top"/>
          </w:tcPr>
          <w:p>
            <w:pPr>
              <w:spacing w:line="327" w:lineRule="auto"/>
              <w:rPr>
                <w:rFonts w:ascii="Arial"/>
                <w:sz w:val="21"/>
              </w:rPr>
            </w:pPr>
          </w:p>
          <w:p>
            <w:pPr>
              <w:spacing w:before="61" w:line="228" w:lineRule="auto"/>
              <w:ind w:left="622"/>
              <w:rPr>
                <w:rFonts w:ascii="宋体" w:hAnsi="宋体" w:eastAsia="宋体" w:cs="宋体"/>
                <w:sz w:val="19"/>
                <w:szCs w:val="19"/>
              </w:rPr>
            </w:pPr>
            <w:r>
              <w:rPr>
                <w:rFonts w:ascii="Times New Roman" w:hAnsi="Times New Roman" w:eastAsia="Times New Roman" w:cs="Times New Roman"/>
                <w:b/>
                <w:bCs/>
                <w:spacing w:val="5"/>
                <w:sz w:val="19"/>
                <w:szCs w:val="19"/>
              </w:rPr>
              <w:t>2023</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年执行数</w:t>
            </w:r>
          </w:p>
        </w:tc>
        <w:tc>
          <w:tcPr>
            <w:tcW w:w="4874" w:type="dxa"/>
            <w:gridSpan w:val="4"/>
            <w:vAlign w:val="top"/>
          </w:tcPr>
          <w:p>
            <w:pPr>
              <w:spacing w:line="327" w:lineRule="auto"/>
              <w:rPr>
                <w:rFonts w:ascii="Arial"/>
                <w:sz w:val="21"/>
              </w:rPr>
            </w:pPr>
          </w:p>
          <w:p>
            <w:pPr>
              <w:spacing w:before="61" w:line="228" w:lineRule="auto"/>
              <w:ind w:left="1812"/>
              <w:rPr>
                <w:rFonts w:ascii="宋体" w:hAnsi="宋体" w:eastAsia="宋体" w:cs="宋体"/>
                <w:sz w:val="19"/>
                <w:szCs w:val="19"/>
              </w:rPr>
            </w:pPr>
            <w:r>
              <w:rPr>
                <w:rFonts w:ascii="Times New Roman" w:hAnsi="Times New Roman" w:eastAsia="Times New Roman" w:cs="Times New Roman"/>
                <w:b/>
                <w:bCs/>
                <w:spacing w:val="5"/>
                <w:sz w:val="19"/>
                <w:szCs w:val="19"/>
              </w:rPr>
              <w:t>2024</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年预算数</w:t>
            </w:r>
          </w:p>
        </w:tc>
        <w:tc>
          <w:tcPr>
            <w:tcW w:w="2096" w:type="dxa"/>
            <w:gridSpan w:val="2"/>
            <w:vAlign w:val="top"/>
          </w:tcPr>
          <w:p>
            <w:pPr>
              <w:spacing w:before="234" w:line="266" w:lineRule="auto"/>
              <w:ind w:left="425" w:right="316" w:hanging="100"/>
              <w:rPr>
                <w:rFonts w:ascii="宋体" w:hAnsi="宋体" w:eastAsia="宋体" w:cs="宋体"/>
                <w:sz w:val="19"/>
                <w:szCs w:val="19"/>
              </w:rPr>
            </w:pPr>
            <w:r>
              <w:rPr>
                <w:rFonts w:ascii="Times New Roman" w:hAnsi="Times New Roman" w:eastAsia="Times New Roman" w:cs="Times New Roman"/>
                <w:b/>
                <w:bCs/>
                <w:spacing w:val="7"/>
                <w:sz w:val="19"/>
                <w:szCs w:val="19"/>
              </w:rPr>
              <w:t xml:space="preserve">2024 </w:t>
            </w:r>
            <w:r>
              <w:rPr>
                <w:rFonts w:ascii="宋体" w:hAnsi="宋体" w:eastAsia="宋体" w:cs="宋体"/>
                <w:spacing w:val="7"/>
                <w:sz w:val="19"/>
                <w:szCs w:val="19"/>
                <w14:textOutline w14:w="3614" w14:cap="sq" w14:cmpd="sng">
                  <w14:solidFill>
                    <w14:srgbClr w14:val="000000"/>
                  </w14:solidFill>
                  <w14:prstDash w14:val="solid"/>
                  <w14:bevel/>
                </w14:textOutline>
              </w:rPr>
              <w:t>年预算数比</w:t>
            </w:r>
            <w:r>
              <w:rPr>
                <w:rFonts w:ascii="宋体" w:hAnsi="宋体" w:eastAsia="宋体" w:cs="宋体"/>
                <w:sz w:val="19"/>
                <w:szCs w:val="19"/>
              </w:rPr>
              <w:t xml:space="preserve"> </w:t>
            </w:r>
            <w:r>
              <w:rPr>
                <w:rFonts w:ascii="Times New Roman" w:hAnsi="Times New Roman" w:eastAsia="Times New Roman" w:cs="Times New Roman"/>
                <w:b/>
                <w:bCs/>
                <w:spacing w:val="6"/>
                <w:sz w:val="19"/>
                <w:szCs w:val="19"/>
              </w:rPr>
              <w:t xml:space="preserve">2023 </w:t>
            </w:r>
            <w:r>
              <w:rPr>
                <w:rFonts w:ascii="宋体" w:hAnsi="宋体" w:eastAsia="宋体" w:cs="宋体"/>
                <w:spacing w:val="6"/>
                <w:sz w:val="19"/>
                <w:szCs w:val="19"/>
                <w14:textOutline w14:w="3614" w14:cap="sq" w14:cmpd="sng">
                  <w14:solidFill>
                    <w14:srgbClr w14:val="000000"/>
                  </w14:solidFill>
                  <w14:prstDash w14:val="solid"/>
                  <w14:bevel/>
                </w14:textOutline>
              </w:rPr>
              <w:t>年执行数</w:t>
            </w:r>
          </w:p>
        </w:tc>
        <w:tc>
          <w:tcPr>
            <w:tcW w:w="2300" w:type="dxa"/>
            <w:gridSpan w:val="2"/>
            <w:vAlign w:val="top"/>
          </w:tcPr>
          <w:p>
            <w:pPr>
              <w:spacing w:before="78" w:line="228" w:lineRule="auto"/>
              <w:ind w:left="326"/>
              <w:rPr>
                <w:rFonts w:ascii="宋体" w:hAnsi="宋体" w:eastAsia="宋体" w:cs="宋体"/>
                <w:sz w:val="19"/>
                <w:szCs w:val="19"/>
              </w:rPr>
            </w:pPr>
            <w:r>
              <w:rPr>
                <w:rFonts w:ascii="Times New Roman" w:hAnsi="Times New Roman" w:eastAsia="Times New Roman" w:cs="Times New Roman"/>
                <w:b/>
                <w:bCs/>
                <w:spacing w:val="6"/>
                <w:sz w:val="19"/>
                <w:szCs w:val="19"/>
              </w:rPr>
              <w:t xml:space="preserve">2024 </w:t>
            </w:r>
            <w:r>
              <w:rPr>
                <w:rFonts w:ascii="宋体" w:hAnsi="宋体" w:eastAsia="宋体" w:cs="宋体"/>
                <w:spacing w:val="6"/>
                <w:sz w:val="19"/>
                <w:szCs w:val="19"/>
                <w14:textOutline w14:w="3614" w14:cap="sq" w14:cmpd="sng">
                  <w14:solidFill>
                    <w14:srgbClr w14:val="000000"/>
                  </w14:solidFill>
                  <w14:prstDash w14:val="solid"/>
                  <w14:bevel/>
                </w14:textOutline>
              </w:rPr>
              <w:t>年预算数比</w:t>
            </w:r>
          </w:p>
          <w:p>
            <w:pPr>
              <w:spacing w:before="77" w:line="228" w:lineRule="auto"/>
              <w:ind w:left="425"/>
              <w:rPr>
                <w:rFonts w:ascii="宋体" w:hAnsi="宋体" w:eastAsia="宋体" w:cs="宋体"/>
                <w:sz w:val="19"/>
                <w:szCs w:val="19"/>
              </w:rPr>
            </w:pPr>
            <w:r>
              <w:rPr>
                <w:rFonts w:ascii="Times New Roman" w:hAnsi="Times New Roman" w:eastAsia="Times New Roman" w:cs="Times New Roman"/>
                <w:b/>
                <w:bCs/>
                <w:spacing w:val="5"/>
                <w:sz w:val="19"/>
                <w:szCs w:val="19"/>
              </w:rPr>
              <w:t>2023</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年执行数</w:t>
            </w:r>
          </w:p>
          <w:p>
            <w:pPr>
              <w:spacing w:before="77" w:line="228" w:lineRule="auto"/>
              <w:ind w:left="63"/>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（扣除中央基建投资）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24" w:type="dxa"/>
            <w:vMerge w:val="restart"/>
            <w:tcBorders>
              <w:bottom w:val="nil"/>
            </w:tcBorders>
            <w:vAlign w:val="top"/>
          </w:tcPr>
          <w:p>
            <w:pPr>
              <w:spacing w:line="405" w:lineRule="auto"/>
              <w:rPr>
                <w:rFonts w:ascii="Arial"/>
                <w:sz w:val="21"/>
              </w:rPr>
            </w:pPr>
          </w:p>
          <w:p>
            <w:pPr>
              <w:spacing w:before="62" w:line="227" w:lineRule="auto"/>
              <w:ind w:left="11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1700" w:type="dxa"/>
            <w:vMerge w:val="restart"/>
            <w:tcBorders>
              <w:bottom w:val="nil"/>
            </w:tcBorders>
            <w:vAlign w:val="top"/>
          </w:tcPr>
          <w:p>
            <w:pPr>
              <w:spacing w:line="405" w:lineRule="auto"/>
              <w:rPr>
                <w:rFonts w:ascii="Arial"/>
                <w:sz w:val="21"/>
              </w:rPr>
            </w:pPr>
          </w:p>
          <w:p>
            <w:pPr>
              <w:spacing w:before="62" w:line="227" w:lineRule="auto"/>
              <w:ind w:left="453"/>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247" w:type="dxa"/>
            <w:vMerge w:val="restart"/>
            <w:tcBorders>
              <w:bottom w:val="nil"/>
            </w:tcBorders>
            <w:vAlign w:val="top"/>
          </w:tcPr>
          <w:p>
            <w:pPr>
              <w:spacing w:line="405" w:lineRule="auto"/>
              <w:rPr>
                <w:rFonts w:ascii="Arial"/>
                <w:sz w:val="21"/>
              </w:rPr>
            </w:pPr>
          </w:p>
          <w:p>
            <w:pPr>
              <w:spacing w:before="62" w:line="228" w:lineRule="auto"/>
              <w:ind w:left="32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执行数</w:t>
            </w:r>
          </w:p>
        </w:tc>
        <w:tc>
          <w:tcPr>
            <w:tcW w:w="1247" w:type="dxa"/>
            <w:vMerge w:val="restart"/>
            <w:tcBorders>
              <w:bottom w:val="nil"/>
            </w:tcBorders>
            <w:vAlign w:val="top"/>
          </w:tcPr>
          <w:p>
            <w:pPr>
              <w:spacing w:line="249" w:lineRule="auto"/>
              <w:rPr>
                <w:rFonts w:ascii="Arial"/>
                <w:sz w:val="21"/>
              </w:rPr>
            </w:pPr>
          </w:p>
          <w:p>
            <w:pPr>
              <w:spacing w:before="62" w:line="266" w:lineRule="auto"/>
              <w:ind w:left="29" w:righ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扣除中央基建</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投资后执行数</w:t>
            </w:r>
          </w:p>
        </w:tc>
        <w:tc>
          <w:tcPr>
            <w:tcW w:w="3627" w:type="dxa"/>
            <w:gridSpan w:val="3"/>
            <w:vAlign w:val="top"/>
          </w:tcPr>
          <w:p>
            <w:pPr>
              <w:spacing w:before="229" w:line="228" w:lineRule="auto"/>
              <w:ind w:left="131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年初预算数</w:t>
            </w:r>
          </w:p>
        </w:tc>
        <w:tc>
          <w:tcPr>
            <w:tcW w:w="1247" w:type="dxa"/>
            <w:vMerge w:val="restart"/>
            <w:tcBorders>
              <w:bottom w:val="nil"/>
            </w:tcBorders>
            <w:vAlign w:val="top"/>
          </w:tcPr>
          <w:p>
            <w:pPr>
              <w:spacing w:line="249" w:lineRule="auto"/>
              <w:rPr>
                <w:rFonts w:ascii="Arial"/>
                <w:sz w:val="21"/>
              </w:rPr>
            </w:pPr>
          </w:p>
          <w:p>
            <w:pPr>
              <w:spacing w:before="62" w:line="266" w:lineRule="auto"/>
              <w:ind w:left="29" w:righ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扣除中央基建</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投资后预算数</w:t>
            </w:r>
          </w:p>
        </w:tc>
        <w:tc>
          <w:tcPr>
            <w:tcW w:w="1416" w:type="dxa"/>
            <w:vMerge w:val="restart"/>
            <w:tcBorders>
              <w:bottom w:val="nil"/>
            </w:tcBorders>
            <w:vAlign w:val="top"/>
          </w:tcPr>
          <w:p>
            <w:pPr>
              <w:spacing w:line="405" w:lineRule="auto"/>
              <w:rPr>
                <w:rFonts w:ascii="Arial"/>
                <w:sz w:val="21"/>
              </w:rPr>
            </w:pPr>
          </w:p>
          <w:p>
            <w:pPr>
              <w:spacing w:before="62" w:line="228" w:lineRule="auto"/>
              <w:ind w:left="413"/>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增减额</w:t>
            </w:r>
          </w:p>
        </w:tc>
        <w:tc>
          <w:tcPr>
            <w:tcW w:w="680" w:type="dxa"/>
            <w:vMerge w:val="restart"/>
            <w:tcBorders>
              <w:bottom w:val="nil"/>
            </w:tcBorders>
            <w:vAlign w:val="top"/>
          </w:tcPr>
          <w:p>
            <w:pPr>
              <w:spacing w:line="250" w:lineRule="auto"/>
              <w:rPr>
                <w:rFonts w:ascii="Arial"/>
                <w:sz w:val="21"/>
              </w:rPr>
            </w:pPr>
          </w:p>
          <w:p>
            <w:pPr>
              <w:spacing w:before="62" w:line="346" w:lineRule="exact"/>
              <w:ind w:left="146"/>
              <w:rPr>
                <w:rFonts w:ascii="宋体" w:hAnsi="宋体" w:eastAsia="宋体" w:cs="宋体"/>
                <w:sz w:val="19"/>
                <w:szCs w:val="19"/>
              </w:rPr>
            </w:pPr>
            <w:r>
              <w:rPr>
                <w:rFonts w:ascii="宋体" w:hAnsi="宋体" w:eastAsia="宋体" w:cs="宋体"/>
                <w:spacing w:val="6"/>
                <w:position w:val="11"/>
                <w:sz w:val="19"/>
                <w:szCs w:val="19"/>
                <w14:textOutline w14:w="3614" w14:cap="sq" w14:cmpd="sng">
                  <w14:solidFill>
                    <w14:srgbClr w14:val="000000"/>
                  </w14:solidFill>
                  <w14:prstDash w14:val="solid"/>
                  <w14:bevel/>
                </w14:textOutline>
              </w:rPr>
              <w:t>增减</w:t>
            </w:r>
          </w:p>
          <w:p>
            <w:pPr>
              <w:spacing w:line="197" w:lineRule="auto"/>
              <w:ind w:left="179"/>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w:t>
            </w:r>
          </w:p>
        </w:tc>
        <w:tc>
          <w:tcPr>
            <w:tcW w:w="1416" w:type="dxa"/>
            <w:vMerge w:val="restart"/>
            <w:tcBorders>
              <w:bottom w:val="nil"/>
            </w:tcBorders>
            <w:vAlign w:val="top"/>
          </w:tcPr>
          <w:p>
            <w:pPr>
              <w:spacing w:line="405" w:lineRule="auto"/>
              <w:rPr>
                <w:rFonts w:ascii="Arial"/>
                <w:sz w:val="21"/>
              </w:rPr>
            </w:pPr>
          </w:p>
          <w:p>
            <w:pPr>
              <w:spacing w:before="62" w:line="228" w:lineRule="auto"/>
              <w:ind w:left="414"/>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增减额</w:t>
            </w:r>
          </w:p>
        </w:tc>
        <w:tc>
          <w:tcPr>
            <w:tcW w:w="884" w:type="dxa"/>
            <w:vMerge w:val="restart"/>
            <w:tcBorders>
              <w:bottom w:val="nil"/>
            </w:tcBorders>
            <w:vAlign w:val="top"/>
          </w:tcPr>
          <w:p>
            <w:pPr>
              <w:spacing w:line="250" w:lineRule="auto"/>
              <w:rPr>
                <w:rFonts w:ascii="Arial"/>
                <w:sz w:val="21"/>
              </w:rPr>
            </w:pPr>
          </w:p>
          <w:p>
            <w:pPr>
              <w:spacing w:before="62" w:line="346" w:lineRule="exact"/>
              <w:ind w:left="148"/>
              <w:rPr>
                <w:rFonts w:ascii="宋体" w:hAnsi="宋体" w:eastAsia="宋体" w:cs="宋体"/>
                <w:sz w:val="19"/>
                <w:szCs w:val="19"/>
              </w:rPr>
            </w:pPr>
            <w:r>
              <w:rPr>
                <w:rFonts w:ascii="宋体" w:hAnsi="宋体" w:eastAsia="宋体" w:cs="宋体"/>
                <w:spacing w:val="6"/>
                <w:position w:val="11"/>
                <w:sz w:val="19"/>
                <w:szCs w:val="19"/>
                <w14:textOutline w14:w="3614" w14:cap="sq" w14:cmpd="sng">
                  <w14:solidFill>
                    <w14:srgbClr w14:val="000000"/>
                  </w14:solidFill>
                  <w14:prstDash w14:val="solid"/>
                  <w14:bevel/>
                </w14:textOutline>
              </w:rPr>
              <w:t>增减</w:t>
            </w:r>
          </w:p>
          <w:p>
            <w:pPr>
              <w:spacing w:line="197" w:lineRule="auto"/>
              <w:ind w:left="181"/>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24" w:type="dxa"/>
            <w:vMerge w:val="continue"/>
            <w:tcBorders>
              <w:top w:val="nil"/>
            </w:tcBorders>
            <w:vAlign w:val="top"/>
          </w:tcPr>
          <w:p>
            <w:pPr>
              <w:rPr>
                <w:rFonts w:ascii="Arial"/>
                <w:sz w:val="21"/>
              </w:rPr>
            </w:pPr>
          </w:p>
        </w:tc>
        <w:tc>
          <w:tcPr>
            <w:tcW w:w="1700" w:type="dxa"/>
            <w:vMerge w:val="continue"/>
            <w:tcBorders>
              <w:top w:val="nil"/>
            </w:tcBorders>
            <w:vAlign w:val="top"/>
          </w:tcPr>
          <w:p>
            <w:pPr>
              <w:rPr>
                <w:rFonts w:ascii="Arial"/>
                <w:sz w:val="21"/>
              </w:rPr>
            </w:pPr>
          </w:p>
        </w:tc>
        <w:tc>
          <w:tcPr>
            <w:tcW w:w="1247" w:type="dxa"/>
            <w:vMerge w:val="continue"/>
            <w:tcBorders>
              <w:top w:val="nil"/>
            </w:tcBorders>
            <w:vAlign w:val="top"/>
          </w:tcPr>
          <w:p>
            <w:pPr>
              <w:rPr>
                <w:rFonts w:ascii="Arial"/>
                <w:sz w:val="21"/>
              </w:rPr>
            </w:pPr>
          </w:p>
        </w:tc>
        <w:tc>
          <w:tcPr>
            <w:tcW w:w="1247" w:type="dxa"/>
            <w:vMerge w:val="continue"/>
            <w:tcBorders>
              <w:top w:val="nil"/>
            </w:tcBorders>
            <w:vAlign w:val="top"/>
          </w:tcPr>
          <w:p>
            <w:pPr>
              <w:rPr>
                <w:rFonts w:ascii="Arial"/>
                <w:sz w:val="21"/>
              </w:rPr>
            </w:pPr>
          </w:p>
        </w:tc>
        <w:tc>
          <w:tcPr>
            <w:tcW w:w="1247" w:type="dxa"/>
            <w:vAlign w:val="top"/>
          </w:tcPr>
          <w:p>
            <w:pPr>
              <w:spacing w:before="145" w:line="230" w:lineRule="auto"/>
              <w:ind w:left="431"/>
              <w:rPr>
                <w:rFonts w:ascii="宋体" w:hAnsi="宋体" w:eastAsia="宋体" w:cs="宋体"/>
                <w:sz w:val="19"/>
                <w:szCs w:val="19"/>
              </w:rPr>
            </w:pPr>
            <w:r>
              <w:rPr>
                <w:rFonts w:ascii="宋体" w:hAnsi="宋体" w:eastAsia="宋体" w:cs="宋体"/>
                <w:spacing w:val="3"/>
                <w:sz w:val="19"/>
                <w:szCs w:val="19"/>
                <w14:textOutline w14:w="3614" w14:cap="sq" w14:cmpd="sng">
                  <w14:solidFill>
                    <w14:srgbClr w14:val="000000"/>
                  </w14:solidFill>
                  <w14:prstDash w14:val="solid"/>
                  <w14:bevel/>
                </w14:textOutline>
              </w:rPr>
              <w:t>小计</w:t>
            </w:r>
          </w:p>
        </w:tc>
        <w:tc>
          <w:tcPr>
            <w:tcW w:w="1246" w:type="dxa"/>
            <w:vAlign w:val="top"/>
          </w:tcPr>
          <w:p>
            <w:pPr>
              <w:spacing w:before="146" w:line="227" w:lineRule="auto"/>
              <w:ind w:left="228"/>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134" w:type="dxa"/>
            <w:vAlign w:val="top"/>
          </w:tcPr>
          <w:p>
            <w:pPr>
              <w:spacing w:before="145" w:line="229" w:lineRule="auto"/>
              <w:ind w:left="175"/>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c>
          <w:tcPr>
            <w:tcW w:w="1247" w:type="dxa"/>
            <w:vMerge w:val="continue"/>
            <w:tcBorders>
              <w:top w:val="nil"/>
            </w:tcBorders>
            <w:vAlign w:val="top"/>
          </w:tcPr>
          <w:p>
            <w:pPr>
              <w:rPr>
                <w:rFonts w:ascii="Arial"/>
                <w:sz w:val="21"/>
              </w:rPr>
            </w:pPr>
          </w:p>
        </w:tc>
        <w:tc>
          <w:tcPr>
            <w:tcW w:w="1416"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1416" w:type="dxa"/>
            <w:vMerge w:val="continue"/>
            <w:tcBorders>
              <w:top w:val="nil"/>
            </w:tcBorders>
            <w:vAlign w:val="top"/>
          </w:tcPr>
          <w:p>
            <w:pPr>
              <w:rPr>
                <w:rFonts w:ascii="Arial"/>
                <w:sz w:val="21"/>
              </w:rPr>
            </w:pPr>
          </w:p>
        </w:tc>
        <w:tc>
          <w:tcPr>
            <w:tcW w:w="88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8" w:line="188" w:lineRule="auto"/>
              <w:ind w:left="200" w:leftChars="0"/>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22102</w:t>
            </w:r>
          </w:p>
        </w:tc>
        <w:tc>
          <w:tcPr>
            <w:tcW w:w="1700" w:type="dxa"/>
            <w:vAlign w:val="top"/>
          </w:tcPr>
          <w:p>
            <w:pPr>
              <w:spacing w:before="157" w:line="219" w:lineRule="auto"/>
              <w:ind w:left="198" w:leftChars="0"/>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住房改革支出</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 xml:space="preserve"> 262.80 </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 xml:space="preserve"> 262.80 </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260</w:t>
            </w:r>
          </w:p>
        </w:tc>
        <w:tc>
          <w:tcPr>
            <w:tcW w:w="124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260</w:t>
            </w:r>
          </w:p>
        </w:tc>
        <w:tc>
          <w:tcPr>
            <w:tcW w:w="1134" w:type="dxa"/>
            <w:vAlign w:val="bottom"/>
          </w:tcPr>
          <w:p>
            <w:pPr>
              <w:rPr>
                <w:rFonts w:hint="default" w:ascii="Times New Roman" w:hAnsi="Times New Roman" w:cs="Times New Roman"/>
                <w:sz w:val="20"/>
                <w:szCs w:val="20"/>
              </w:rPr>
            </w:pP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260</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-2.8</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-2.8</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200" w:line="188" w:lineRule="auto"/>
              <w:ind w:right="12" w:rightChars="0"/>
              <w:jc w:val="right"/>
              <w:rPr>
                <w:rFonts w:ascii="Times New Roman" w:hAnsi="Times New Roman" w:eastAsia="Times New Roman" w:cs="Times New Roman"/>
                <w:sz w:val="20"/>
                <w:szCs w:val="20"/>
              </w:rPr>
            </w:pPr>
            <w:r>
              <w:rPr>
                <w:rFonts w:hint="eastAsia" w:ascii="Times New Roman" w:hAnsi="Times New Roman" w:eastAsia="Times New Roman" w:cs="Times New Roman"/>
                <w:spacing w:val="-1"/>
                <w:sz w:val="20"/>
                <w:szCs w:val="20"/>
                <w:lang w:val="en-US" w:eastAsia="zh-CN"/>
              </w:rPr>
              <w:t>2210201</w:t>
            </w:r>
          </w:p>
        </w:tc>
        <w:tc>
          <w:tcPr>
            <w:tcW w:w="1700" w:type="dxa"/>
            <w:vAlign w:val="top"/>
          </w:tcPr>
          <w:p>
            <w:pPr>
              <w:spacing w:before="157" w:line="219" w:lineRule="auto"/>
              <w:rPr>
                <w:rFonts w:ascii="宋体" w:hAnsi="宋体" w:eastAsia="宋体" w:cs="宋体"/>
                <w:sz w:val="20"/>
                <w:szCs w:val="20"/>
              </w:rPr>
            </w:pPr>
            <w:r>
              <w:rPr>
                <w:rFonts w:hint="eastAsia" w:ascii="宋体" w:hAnsi="宋体" w:eastAsia="宋体" w:cs="宋体"/>
                <w:spacing w:val="-2"/>
                <w:sz w:val="20"/>
                <w:szCs w:val="20"/>
                <w:lang w:val="en-US" w:eastAsia="zh-CN"/>
              </w:rPr>
              <w:t xml:space="preserve">住房公积金 </w:t>
            </w:r>
            <w:r>
              <w:rPr>
                <w:rFonts w:hint="default" w:ascii="宋体" w:hAnsi="宋体" w:eastAsia="宋体" w:cs="宋体"/>
                <w:spacing w:val="-2"/>
                <w:sz w:val="20"/>
                <w:szCs w:val="20"/>
                <w:lang w:val="en-US" w:eastAsia="zh-CN"/>
              </w:rPr>
              <w:t xml:space="preserve"> </w:t>
            </w:r>
            <w:r>
              <w:rPr>
                <w:rFonts w:hint="default" w:ascii="宋体" w:hAnsi="宋体" w:eastAsia="宋体" w:cs="宋体"/>
                <w:spacing w:val="-1"/>
                <w:sz w:val="20"/>
                <w:szCs w:val="20"/>
                <w:lang w:val="en-US" w:eastAsia="zh-CN"/>
                <w14:textOutline w14:w="3268" w14:cap="sq" w14:cmpd="sng">
                  <w14:solidFill>
                    <w14:srgbClr w14:val="000000"/>
                  </w14:solidFill>
                  <w14:prstDash w14:val="solid"/>
                  <w14:bevel/>
                </w14:textOutline>
              </w:rPr>
              <w:t xml:space="preserve">    </w:t>
            </w:r>
            <w:r>
              <w:rPr>
                <w:rFonts w:hint="eastAsia" w:ascii="宋体" w:hAnsi="宋体" w:eastAsia="宋体" w:cs="宋体"/>
                <w:spacing w:val="-1"/>
                <w:sz w:val="20"/>
                <w:szCs w:val="20"/>
                <w:lang w:val="en-US" w:eastAsia="zh-CN"/>
                <w14:textOutline w14:w="3268" w14:cap="sq" w14:cmpd="sng">
                  <w14:solidFill>
                    <w14:srgbClr w14:val="000000"/>
                  </w14:solidFill>
                  <w14:prstDash w14:val="solid"/>
                  <w14:bevel/>
                </w14:textOutline>
              </w:rPr>
              <w:t xml:space="preserve"> </w:t>
            </w:r>
            <w:r>
              <w:rPr>
                <w:rFonts w:hint="default" w:ascii="宋体" w:hAnsi="宋体" w:eastAsia="宋体" w:cs="宋体"/>
                <w:spacing w:val="-1"/>
                <w:sz w:val="20"/>
                <w:szCs w:val="20"/>
                <w:lang w:val="en-US" w:eastAsia="zh-CN"/>
                <w14:textOutline w14:w="3268" w14:cap="sq" w14:cmpd="sng">
                  <w14:solidFill>
                    <w14:srgbClr w14:val="000000"/>
                  </w14:solidFill>
                  <w14:prstDash w14:val="solid"/>
                  <w14:bevel/>
                </w14:textOutline>
              </w:rPr>
              <w:t xml:space="preserve">  </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 xml:space="preserve"> 262.80 </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 xml:space="preserve"> 262.80 </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260</w:t>
            </w:r>
          </w:p>
        </w:tc>
        <w:tc>
          <w:tcPr>
            <w:tcW w:w="124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260</w:t>
            </w:r>
          </w:p>
        </w:tc>
        <w:tc>
          <w:tcPr>
            <w:tcW w:w="1134" w:type="dxa"/>
            <w:vAlign w:val="bottom"/>
          </w:tcPr>
          <w:p>
            <w:pPr>
              <w:rPr>
                <w:rFonts w:hint="default" w:ascii="Times New Roman" w:hAnsi="Times New Roman" w:cs="Times New Roman"/>
                <w:sz w:val="20"/>
                <w:szCs w:val="20"/>
              </w:rPr>
            </w:pP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260</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-2.8</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-1.07</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-2.8</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024" w:type="dxa"/>
            <w:vAlign w:val="top"/>
          </w:tcPr>
          <w:p>
            <w:pPr>
              <w:spacing w:before="199" w:line="188" w:lineRule="auto"/>
              <w:ind w:left="20" w:leftChars="0"/>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224</w:t>
            </w:r>
          </w:p>
        </w:tc>
        <w:tc>
          <w:tcPr>
            <w:tcW w:w="1700" w:type="dxa"/>
            <w:vAlign w:val="top"/>
          </w:tcPr>
          <w:p>
            <w:pPr>
              <w:spacing w:before="50" w:line="225" w:lineRule="auto"/>
              <w:ind w:left="19" w:leftChars="0" w:right="58" w:rightChars="0" w:firstLine="3" w:firstLineChars="0"/>
              <w:rPr>
                <w:rFonts w:ascii="宋体" w:hAnsi="宋体" w:eastAsia="宋体" w:cs="宋体"/>
                <w:sz w:val="20"/>
                <w:szCs w:val="20"/>
              </w:rPr>
            </w:pPr>
            <w:r>
              <w:rPr>
                <w:rFonts w:ascii="宋体" w:hAnsi="宋体" w:eastAsia="宋体" w:cs="宋体"/>
                <w:spacing w:val="-1"/>
                <w:sz w:val="20"/>
                <w:szCs w:val="20"/>
                <w14:textOutline w14:w="3268" w14:cap="sq" w14:cmpd="sng">
                  <w14:solidFill>
                    <w14:srgbClr w14:val="000000"/>
                  </w14:solidFill>
                  <w14:prstDash w14:val="solid"/>
                  <w14:bevel/>
                </w14:textOutline>
              </w:rPr>
              <w:t>灾害防治及应急管理</w:t>
            </w:r>
            <w:r>
              <w:rPr>
                <w:rFonts w:ascii="宋体" w:hAnsi="宋体" w:eastAsia="宋体" w:cs="宋体"/>
                <w:spacing w:val="-4"/>
                <w:sz w:val="20"/>
                <w:szCs w:val="20"/>
                <w14:textOutline w14:w="3268" w14:cap="sq" w14:cmpd="sng">
                  <w14:solidFill>
                    <w14:srgbClr w14:val="000000"/>
                  </w14:solidFill>
                  <w14:prstDash w14:val="solid"/>
                  <w14:bevel/>
                </w14:textOutline>
              </w:rPr>
              <w:t>支出</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1157.21</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1157.21</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2405.77</w:t>
            </w:r>
          </w:p>
        </w:tc>
        <w:tc>
          <w:tcPr>
            <w:tcW w:w="124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2344.21</w:t>
            </w:r>
          </w:p>
        </w:tc>
        <w:tc>
          <w:tcPr>
            <w:tcW w:w="113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61.56</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2405.77</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1248.56</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107.89</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1248.56</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7" w:line="188" w:lineRule="auto"/>
              <w:ind w:left="200" w:leftChars="0"/>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22402</w:t>
            </w:r>
          </w:p>
        </w:tc>
        <w:tc>
          <w:tcPr>
            <w:tcW w:w="1700" w:type="dxa"/>
            <w:vAlign w:val="top"/>
          </w:tcPr>
          <w:p>
            <w:pPr>
              <w:spacing w:before="158" w:line="219" w:lineRule="auto"/>
              <w:ind w:left="202" w:leftChars="0"/>
              <w:rPr>
                <w:rFonts w:ascii="宋体" w:hAnsi="宋体" w:eastAsia="宋体" w:cs="宋体"/>
                <w:sz w:val="20"/>
                <w:szCs w:val="20"/>
              </w:rPr>
            </w:pPr>
            <w:r>
              <w:rPr>
                <w:rFonts w:ascii="宋体" w:hAnsi="宋体" w:eastAsia="宋体" w:cs="宋体"/>
                <w:spacing w:val="-2"/>
                <w:sz w:val="20"/>
                <w:szCs w:val="20"/>
                <w14:textOutline w14:w="3268" w14:cap="sq" w14:cmpd="sng">
                  <w14:solidFill>
                    <w14:srgbClr w14:val="000000"/>
                  </w14:solidFill>
                  <w14:prstDash w14:val="solid"/>
                  <w14:bevel/>
                </w14:textOutline>
              </w:rPr>
              <w:t>消防救援事务</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1157.21</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1157.21</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2405.77</w:t>
            </w:r>
          </w:p>
        </w:tc>
        <w:tc>
          <w:tcPr>
            <w:tcW w:w="124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2344.21</w:t>
            </w:r>
          </w:p>
        </w:tc>
        <w:tc>
          <w:tcPr>
            <w:tcW w:w="113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61.56</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2405.77</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1248.56</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107.89</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1248.56</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b/>
                <w:i w:val="0"/>
                <w:snapToGrid w:val="0"/>
                <w:color w:val="000000"/>
                <w:kern w:val="0"/>
                <w:sz w:val="20"/>
                <w:szCs w:val="20"/>
                <w:u w:val="none"/>
                <w:lang w:val="en-US" w:eastAsia="zh-CN" w:bidi="ar"/>
              </w:rPr>
              <w:t>107.89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8" w:line="188" w:lineRule="auto"/>
              <w:ind w:right="12" w:rightChars="0"/>
              <w:jc w:val="right"/>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2240201</w:t>
            </w:r>
          </w:p>
        </w:tc>
        <w:tc>
          <w:tcPr>
            <w:tcW w:w="1700" w:type="dxa"/>
            <w:vAlign w:val="top"/>
          </w:tcPr>
          <w:p>
            <w:pPr>
              <w:spacing w:before="156" w:line="220" w:lineRule="auto"/>
              <w:rPr>
                <w:rFonts w:ascii="宋体" w:hAnsi="宋体" w:eastAsia="宋体" w:cs="宋体"/>
                <w:sz w:val="20"/>
                <w:szCs w:val="20"/>
              </w:rPr>
            </w:pPr>
            <w:r>
              <w:rPr>
                <w:rFonts w:ascii="宋体" w:hAnsi="宋体" w:eastAsia="宋体" w:cs="宋体"/>
                <w:spacing w:val="-3"/>
                <w:sz w:val="20"/>
                <w:szCs w:val="20"/>
              </w:rPr>
              <w:t>行政运行</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1095.76</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1095.76</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2344.21</w:t>
            </w:r>
          </w:p>
        </w:tc>
        <w:tc>
          <w:tcPr>
            <w:tcW w:w="124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2344.21</w:t>
            </w:r>
          </w:p>
        </w:tc>
        <w:tc>
          <w:tcPr>
            <w:tcW w:w="1134" w:type="dxa"/>
            <w:vAlign w:val="bottom"/>
          </w:tcPr>
          <w:p>
            <w:pPr>
              <w:rPr>
                <w:rFonts w:hint="default" w:ascii="Times New Roman" w:hAnsi="Times New Roman" w:cs="Times New Roman"/>
                <w:sz w:val="20"/>
                <w:szCs w:val="20"/>
              </w:rPr>
            </w:pP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2344.21</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1248.45</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113.93</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1248.45</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113.93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6" w:line="188" w:lineRule="auto"/>
              <w:ind w:right="12" w:rightChars="0"/>
              <w:jc w:val="right"/>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2240204</w:t>
            </w:r>
          </w:p>
        </w:tc>
        <w:tc>
          <w:tcPr>
            <w:tcW w:w="1700" w:type="dxa"/>
            <w:vAlign w:val="top"/>
          </w:tcPr>
          <w:p>
            <w:pPr>
              <w:spacing w:before="158" w:line="219" w:lineRule="auto"/>
              <w:rPr>
                <w:rFonts w:ascii="宋体" w:hAnsi="宋体" w:eastAsia="宋体" w:cs="宋体"/>
                <w:sz w:val="20"/>
                <w:szCs w:val="20"/>
              </w:rPr>
            </w:pPr>
            <w:r>
              <w:rPr>
                <w:rFonts w:ascii="宋体" w:hAnsi="宋体" w:eastAsia="宋体" w:cs="宋体"/>
                <w:spacing w:val="-2"/>
                <w:sz w:val="20"/>
                <w:szCs w:val="20"/>
              </w:rPr>
              <w:t>消防应急救援</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61.45</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61.45</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61.56</w:t>
            </w:r>
          </w:p>
        </w:tc>
        <w:tc>
          <w:tcPr>
            <w:tcW w:w="1246" w:type="dxa"/>
            <w:vAlign w:val="bottom"/>
          </w:tcPr>
          <w:p>
            <w:pPr>
              <w:rPr>
                <w:rFonts w:hint="default" w:ascii="Times New Roman" w:hAnsi="Times New Roman" w:cs="Times New Roman"/>
                <w:sz w:val="20"/>
                <w:szCs w:val="20"/>
              </w:rPr>
            </w:pPr>
          </w:p>
        </w:tc>
        <w:tc>
          <w:tcPr>
            <w:tcW w:w="113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61.56</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61.56</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0.11</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0.18</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0.11</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sz w:val="20"/>
                <w:szCs w:val="20"/>
              </w:rPr>
            </w:pPr>
            <w:r>
              <w:rPr>
                <w:rFonts w:hint="default" w:ascii="Times New Roman" w:hAnsi="Times New Roman" w:eastAsia="宋体" w:cs="Times New Roman"/>
                <w:i w:val="0"/>
                <w:snapToGrid w:val="0"/>
                <w:color w:val="000000"/>
                <w:kern w:val="0"/>
                <w:sz w:val="20"/>
                <w:szCs w:val="20"/>
                <w:u w:val="none"/>
                <w:lang w:val="en-US" w:eastAsia="zh-CN" w:bidi="ar"/>
              </w:rPr>
              <w:t>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2724" w:type="dxa"/>
            <w:gridSpan w:val="2"/>
            <w:vAlign w:val="top"/>
          </w:tcPr>
          <w:p>
            <w:pPr>
              <w:spacing w:before="158" w:line="221" w:lineRule="auto"/>
              <w:ind w:left="1096" w:leftChars="0"/>
              <w:rPr>
                <w:rFonts w:ascii="宋体" w:hAnsi="宋体" w:eastAsia="宋体" w:cs="宋体"/>
                <w:b/>
                <w:bCs/>
                <w:sz w:val="18"/>
                <w:szCs w:val="18"/>
              </w:rPr>
            </w:pPr>
            <w:r>
              <w:rPr>
                <w:rFonts w:ascii="宋体" w:hAnsi="宋体" w:eastAsia="宋体" w:cs="宋体"/>
                <w:b/>
                <w:bCs/>
                <w:spacing w:val="-4"/>
                <w:sz w:val="18"/>
                <w:szCs w:val="18"/>
                <w14:textOutline w14:w="3268" w14:cap="sq" w14:cmpd="sng">
                  <w14:solidFill>
                    <w14:srgbClr w14:val="000000"/>
                  </w14:solidFill>
                  <w14:prstDash w14:val="solid"/>
                  <w14:bevel/>
                </w14:textOutline>
              </w:rPr>
              <w:t>合</w:t>
            </w:r>
            <w:r>
              <w:rPr>
                <w:rFonts w:ascii="宋体" w:hAnsi="宋体" w:eastAsia="宋体" w:cs="宋体"/>
                <w:b/>
                <w:bCs/>
                <w:spacing w:val="3"/>
                <w:sz w:val="18"/>
                <w:szCs w:val="18"/>
              </w:rPr>
              <w:t xml:space="preserve">  </w:t>
            </w:r>
            <w:r>
              <w:rPr>
                <w:rFonts w:ascii="宋体" w:hAnsi="宋体" w:eastAsia="宋体" w:cs="宋体"/>
                <w:b/>
                <w:bCs/>
                <w:spacing w:val="-4"/>
                <w:sz w:val="18"/>
                <w:szCs w:val="18"/>
                <w14:textOutline w14:w="3268" w14:cap="sq" w14:cmpd="sng">
                  <w14:solidFill>
                    <w14:srgbClr w14:val="000000"/>
                  </w14:solidFill>
                  <w14:prstDash w14:val="solid"/>
                  <w14:bevel/>
                </w14:textOutline>
              </w:rPr>
              <w:t>计</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3610.83</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3610.83</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3566.56</w:t>
            </w:r>
          </w:p>
        </w:tc>
        <w:tc>
          <w:tcPr>
            <w:tcW w:w="1246" w:type="dxa"/>
            <w:vAlign w:val="bottom"/>
          </w:tcPr>
          <w:p>
            <w:pPr>
              <w:keepNext w:val="0"/>
              <w:keepLines w:val="0"/>
              <w:widowControl/>
              <w:suppressLineNumbers w:val="0"/>
              <w:jc w:val="right"/>
              <w:textAlignment w:val="bottom"/>
              <w:rPr>
                <w:rFonts w:hint="default" w:ascii="Times New Roman" w:hAnsi="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3505</w:t>
            </w:r>
          </w:p>
        </w:tc>
        <w:tc>
          <w:tcPr>
            <w:tcW w:w="1134"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61.56</w:t>
            </w:r>
          </w:p>
        </w:tc>
        <w:tc>
          <w:tcPr>
            <w:tcW w:w="1247"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3566.56</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-44.27</w:t>
            </w:r>
          </w:p>
        </w:tc>
        <w:tc>
          <w:tcPr>
            <w:tcW w:w="680"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-1.23</w:t>
            </w:r>
          </w:p>
        </w:tc>
        <w:tc>
          <w:tcPr>
            <w:tcW w:w="1416"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-44.27</w:t>
            </w:r>
          </w:p>
        </w:tc>
        <w:tc>
          <w:tcPr>
            <w:tcW w:w="884" w:type="dxa"/>
            <w:vAlign w:val="bottom"/>
          </w:tcPr>
          <w:p>
            <w:pPr>
              <w:keepNext w:val="0"/>
              <w:keepLines w:val="0"/>
              <w:widowControl/>
              <w:suppressLineNumbers w:val="0"/>
              <w:jc w:val="right"/>
              <w:textAlignment w:val="bottom"/>
              <w:rPr>
                <w:rFonts w:hint="default" w:ascii="Times New Roman" w:hAnsi="Times New Roman" w:eastAsia="Times New Roman" w:cs="Times New Roman"/>
                <w:b/>
                <w:bCs/>
                <w:sz w:val="20"/>
                <w:szCs w:val="20"/>
              </w:rPr>
            </w:pPr>
            <w:r>
              <w:rPr>
                <w:rFonts w:hint="default" w:ascii="Times New Roman" w:hAnsi="Times New Roman" w:eastAsia="宋体" w:cs="Times New Roman"/>
                <w:b/>
                <w:bCs/>
                <w:i w:val="0"/>
                <w:snapToGrid w:val="0"/>
                <w:color w:val="000000"/>
                <w:kern w:val="0"/>
                <w:sz w:val="20"/>
                <w:szCs w:val="20"/>
                <w:u w:val="none"/>
                <w:lang w:val="en-US" w:eastAsia="zh-CN" w:bidi="ar"/>
              </w:rPr>
              <w:t>-1.23</w:t>
            </w:r>
          </w:p>
        </w:tc>
      </w:tr>
    </w:tbl>
    <w:p>
      <w:pPr>
        <w:spacing w:before="158" w:line="220" w:lineRule="auto"/>
        <w:ind w:right="19"/>
        <w:jc w:val="both"/>
        <w:rPr>
          <w:rFonts w:hint="eastAsia" w:ascii="宋体" w:hAnsi="宋体" w:eastAsia="宋体" w:cs="宋体"/>
          <w:spacing w:val="-2"/>
          <w:sz w:val="18"/>
          <w:szCs w:val="18"/>
          <w:lang w:val="en-US" w:eastAsia="zh-CN"/>
        </w:rPr>
        <w:sectPr>
          <w:footerReference r:id="rId14" w:type="default"/>
          <w:pgSz w:w="16840" w:h="11907" w:orient="landscape"/>
          <w:pgMar w:top="720" w:right="720" w:bottom="720" w:left="720" w:header="0" w:footer="646" w:gutter="0"/>
          <w:pgNumType w:fmt="decimal"/>
          <w:cols w:space="720" w:num="1"/>
        </w:sectPr>
      </w:pPr>
    </w:p>
    <w:p>
      <w:pPr>
        <w:spacing w:before="62" w:line="228" w:lineRule="auto"/>
        <w:ind w:right="17"/>
        <w:jc w:val="center"/>
        <w:rPr>
          <w:rFonts w:ascii="微软雅黑" w:hAnsi="微软雅黑" w:eastAsia="微软雅黑" w:cs="微软雅黑"/>
          <w:sz w:val="31"/>
          <w:szCs w:val="31"/>
        </w:rPr>
      </w:pPr>
      <w:bookmarkStart w:id="6" w:name="bookmark11"/>
      <w:bookmarkEnd w:id="6"/>
      <w:r>
        <w:rPr>
          <w:rFonts w:ascii="微软雅黑" w:hAnsi="微软雅黑" w:eastAsia="微软雅黑" w:cs="微软雅黑"/>
          <w:spacing w:val="9"/>
          <w:sz w:val="31"/>
          <w:szCs w:val="31"/>
        </w:rPr>
        <w:t>一般公共预算基本支出表</w:t>
      </w:r>
    </w:p>
    <w:p>
      <w:pPr>
        <w:spacing w:before="158" w:line="220" w:lineRule="auto"/>
        <w:ind w:right="19"/>
        <w:jc w:val="both"/>
        <w:rPr>
          <w:rFonts w:ascii="Times New Roman" w:hAnsi="Times New Roman" w:eastAsia="Times New Roman" w:cs="Times New Roman"/>
          <w:spacing w:val="6"/>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5"/>
          <w:sz w:val="19"/>
          <w:szCs w:val="19"/>
        </w:rPr>
        <w:t xml:space="preserve"> </w:t>
      </w:r>
      <w:r>
        <w:rPr>
          <w:rFonts w:ascii="Times New Roman" w:hAnsi="Times New Roman" w:eastAsia="Times New Roman" w:cs="Times New Roman"/>
          <w:spacing w:val="6"/>
          <w:sz w:val="19"/>
          <w:szCs w:val="19"/>
        </w:rPr>
        <w:t>6</w:t>
      </w:r>
    </w:p>
    <w:p>
      <w:pPr>
        <w:spacing w:before="158" w:line="220" w:lineRule="auto"/>
        <w:ind w:right="19"/>
        <w:jc w:val="both"/>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tbl>
      <w:tblPr>
        <w:tblStyle w:val="8"/>
        <w:tblpPr w:leftFromText="180" w:rightFromText="180" w:vertAnchor="text" w:horzAnchor="page" w:tblpX="1338" w:tblpY="38"/>
        <w:tblOverlap w:val="never"/>
        <w:tblW w:w="956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5"/>
        <w:gridCol w:w="3116"/>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461" w:type="dxa"/>
            <w:gridSpan w:val="2"/>
            <w:vAlign w:val="top"/>
          </w:tcPr>
          <w:p>
            <w:pPr>
              <w:spacing w:before="178" w:line="227" w:lineRule="auto"/>
              <w:ind w:left="1039"/>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部门预算支出经济分类科目</w:t>
            </w:r>
          </w:p>
        </w:tc>
        <w:tc>
          <w:tcPr>
            <w:tcW w:w="5105" w:type="dxa"/>
            <w:gridSpan w:val="3"/>
            <w:vAlign w:val="top"/>
          </w:tcPr>
          <w:p>
            <w:pPr>
              <w:spacing w:before="178" w:line="227" w:lineRule="auto"/>
              <w:ind w:left="1828"/>
              <w:rPr>
                <w:rFonts w:ascii="宋体" w:hAnsi="宋体" w:eastAsia="宋体" w:cs="宋体"/>
                <w:sz w:val="20"/>
                <w:szCs w:val="20"/>
              </w:rPr>
            </w:pPr>
            <w:r>
              <w:rPr>
                <w:rFonts w:ascii="Times New Roman" w:hAnsi="Times New Roman" w:eastAsia="Times New Roman" w:cs="Times New Roman"/>
                <w:b/>
                <w:bCs/>
                <w:spacing w:val="6"/>
                <w:sz w:val="20"/>
                <w:szCs w:val="20"/>
              </w:rPr>
              <w:t xml:space="preserve">2024 </w:t>
            </w:r>
            <w:r>
              <w:rPr>
                <w:rFonts w:ascii="宋体" w:hAnsi="宋体" w:eastAsia="宋体" w:cs="宋体"/>
                <w:spacing w:val="6"/>
                <w:sz w:val="20"/>
                <w:szCs w:val="20"/>
                <w14:textOutline w14:w="3614" w14:cap="sq" w14:cmpd="sng">
                  <w14:solidFill>
                    <w14:srgbClr w14:val="000000"/>
                  </w14:solidFill>
                  <w14:prstDash w14:val="solid"/>
                  <w14:bevel/>
                </w14:textOutline>
              </w:rPr>
              <w:t>年基本支出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45" w:type="dxa"/>
            <w:vAlign w:val="top"/>
          </w:tcPr>
          <w:p>
            <w:pPr>
              <w:spacing w:before="172" w:line="227" w:lineRule="auto"/>
              <w:ind w:left="27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科目编码</w:t>
            </w:r>
          </w:p>
        </w:tc>
        <w:tc>
          <w:tcPr>
            <w:tcW w:w="3116" w:type="dxa"/>
            <w:vAlign w:val="top"/>
          </w:tcPr>
          <w:p>
            <w:pPr>
              <w:spacing w:before="172" w:line="227" w:lineRule="auto"/>
              <w:ind w:left="1163"/>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科目名称</w:t>
            </w:r>
          </w:p>
        </w:tc>
        <w:tc>
          <w:tcPr>
            <w:tcW w:w="1700" w:type="dxa"/>
            <w:vAlign w:val="top"/>
          </w:tcPr>
          <w:p>
            <w:pPr>
              <w:spacing w:before="171" w:line="230" w:lineRule="auto"/>
              <w:ind w:left="656"/>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合计</w:t>
            </w:r>
          </w:p>
        </w:tc>
        <w:tc>
          <w:tcPr>
            <w:tcW w:w="1700" w:type="dxa"/>
            <w:vAlign w:val="top"/>
          </w:tcPr>
          <w:p>
            <w:pPr>
              <w:spacing w:before="171" w:line="229" w:lineRule="auto"/>
              <w:ind w:left="457"/>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人员经费</w:t>
            </w:r>
          </w:p>
        </w:tc>
        <w:tc>
          <w:tcPr>
            <w:tcW w:w="1705" w:type="dxa"/>
            <w:vAlign w:val="top"/>
          </w:tcPr>
          <w:p>
            <w:pPr>
              <w:spacing w:before="171" w:line="229" w:lineRule="auto"/>
              <w:ind w:left="463"/>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ascii="Times New Roman" w:hAnsi="Times New Roman" w:eastAsia="Times New Roman" w:cs="Times New Roman"/>
                <w:b/>
                <w:bCs/>
                <w:spacing w:val="-2"/>
                <w:sz w:val="20"/>
                <w:szCs w:val="20"/>
              </w:rPr>
            </w:pPr>
            <w:r>
              <w:rPr>
                <w:rFonts w:hint="eastAsia" w:ascii="Times New Roman" w:hAnsi="Times New Roman" w:eastAsia="Times New Roman" w:cs="Times New Roman"/>
                <w:b/>
                <w:bCs/>
                <w:spacing w:val="-2"/>
                <w:sz w:val="20"/>
                <w:szCs w:val="20"/>
                <w:lang w:val="en-US" w:eastAsia="zh-CN"/>
              </w:rPr>
              <w:t>301</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14:textOutline w14:w="3268" w14:cap="sq" w14:cmpd="sng">
                  <w14:solidFill>
                    <w14:srgbClr w14:val="000000"/>
                  </w14:solidFill>
                  <w14:prstDash w14:val="solid"/>
                  <w14:bevel/>
                </w14:textOutline>
              </w:rPr>
              <w:t>工资福利支出</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3,265.80</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3,265.80</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jc w:val="left"/>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30101</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基本工资</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805.00</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805.00</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jc w:val="left"/>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30102</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津贴补贴</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1,231.01</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1,231.01</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30103</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奖金</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69.00</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69.00</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30108</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机关事业单位基本养老保险缴费</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255.44</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255.44</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30109</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职业年金缴费</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146.78</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146.78</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30110</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职工基本医疗保险缴费</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403.57</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403.57</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ascii="Times New Roman" w:hAnsi="Times New Roman" w:eastAsia="Times New Roman" w:cs="Times New Roman"/>
                <w:b w:val="0"/>
                <w:bCs w:val="0"/>
                <w:spacing w:val="-2"/>
                <w:sz w:val="20"/>
                <w:szCs w:val="20"/>
              </w:rPr>
            </w:pPr>
            <w:r>
              <w:rPr>
                <w:rFonts w:hint="eastAsia" w:ascii="Times New Roman" w:hAnsi="Times New Roman" w:eastAsia="Times New Roman" w:cs="Times New Roman"/>
                <w:b w:val="0"/>
                <w:bCs w:val="0"/>
                <w:spacing w:val="-2"/>
                <w:sz w:val="20"/>
                <w:szCs w:val="20"/>
                <w:lang w:val="en-US" w:eastAsia="zh-CN"/>
              </w:rPr>
              <w:t>30113</w:t>
            </w:r>
          </w:p>
        </w:tc>
        <w:tc>
          <w:tcPr>
            <w:tcW w:w="3116" w:type="dxa"/>
            <w:vAlign w:val="center"/>
          </w:tcPr>
          <w:p>
            <w:pPr>
              <w:spacing w:before="50" w:line="232" w:lineRule="auto"/>
              <w:ind w:right="68"/>
              <w:jc w:val="both"/>
              <w:rPr>
                <w:rFonts w:hint="eastAsia" w:ascii="宋体" w:hAnsi="宋体" w:eastAsia="宋体" w:cs="宋体"/>
                <w:spacing w:val="-1"/>
                <w:sz w:val="20"/>
                <w:szCs w:val="20"/>
              </w:rPr>
            </w:pPr>
            <w:r>
              <w:rPr>
                <w:rFonts w:hint="eastAsia" w:ascii="宋体" w:hAnsi="宋体" w:eastAsia="宋体" w:cs="宋体"/>
                <w:spacing w:val="-1"/>
                <w:sz w:val="20"/>
                <w:szCs w:val="20"/>
                <w:lang w:val="en-US" w:eastAsia="zh-CN"/>
              </w:rPr>
              <w:t>住房公积金</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260.00</w:t>
            </w:r>
          </w:p>
        </w:tc>
        <w:tc>
          <w:tcPr>
            <w:tcW w:w="1700" w:type="dxa"/>
            <w:vAlign w:val="center"/>
          </w:tcPr>
          <w:p>
            <w:pPr>
              <w:keepNext w:val="0"/>
              <w:keepLines w:val="0"/>
              <w:widowControl/>
              <w:suppressLineNumbers w:val="0"/>
              <w:jc w:val="right"/>
              <w:textAlignment w:val="bottom"/>
              <w:rPr>
                <w:rFonts w:hint="default"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260.00</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zh-CN"/>
              </w:rPr>
            </w:pPr>
            <w:r>
              <w:rPr>
                <w:rFonts w:hint="eastAsia" w:ascii="Times New Roman" w:hAnsi="Times New Roman" w:eastAsia="Times New Roman" w:cs="Times New Roman"/>
                <w:b w:val="0"/>
                <w:bCs w:val="0"/>
                <w:spacing w:val="-2"/>
                <w:sz w:val="20"/>
                <w:szCs w:val="20"/>
                <w:lang w:val="en-US" w:eastAsia="zh-CN"/>
              </w:rPr>
              <w:t>30114</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zh-CN"/>
              </w:rPr>
            </w:pPr>
            <w:r>
              <w:rPr>
                <w:rFonts w:hint="eastAsia" w:ascii="宋体" w:hAnsi="宋体" w:eastAsia="宋体" w:cs="宋体"/>
                <w:spacing w:val="-1"/>
                <w:sz w:val="20"/>
                <w:szCs w:val="20"/>
                <w:lang w:val="en-US" w:eastAsia="zh-CN"/>
              </w:rPr>
              <w:t>医疗费</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95.00</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95.00</w:t>
            </w:r>
          </w:p>
        </w:tc>
        <w:tc>
          <w:tcPr>
            <w:tcW w:w="1705" w:type="dxa"/>
            <w:vAlign w:val="center"/>
          </w:tcPr>
          <w:p>
            <w:pPr>
              <w:keepNext w:val="0"/>
              <w:keepLines w:val="0"/>
              <w:widowControl/>
              <w:suppressLineNumbers w:val="0"/>
              <w:jc w:val="right"/>
              <w:textAlignment w:val="bottom"/>
              <w:rPr>
                <w:rFonts w:hint="default"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bCs/>
                <w:spacing w:val="-2"/>
                <w:sz w:val="20"/>
                <w:szCs w:val="20"/>
                <w:lang w:val="en-US" w:eastAsia="en-US"/>
              </w:rPr>
            </w:pPr>
            <w:r>
              <w:rPr>
                <w:rFonts w:hint="eastAsia" w:ascii="Times New Roman" w:hAnsi="Times New Roman" w:eastAsia="Times New Roman" w:cs="Times New Roman"/>
                <w:b/>
                <w:bCs/>
                <w:spacing w:val="-2"/>
                <w:sz w:val="20"/>
                <w:szCs w:val="20"/>
                <w:lang w:val="en-US" w:eastAsia="zh-CN"/>
              </w:rPr>
              <w:t>302</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14:textOutline w14:w="3268" w14:cap="sq" w14:cmpd="sng">
                  <w14:solidFill>
                    <w14:srgbClr w14:val="000000"/>
                  </w14:solidFill>
                  <w14:prstDash w14:val="solid"/>
                  <w14:bevel/>
                </w14:textOutline>
              </w:rPr>
              <w:t>商品和服务支出</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174.61</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174.61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en-US"/>
              </w:rPr>
            </w:pPr>
            <w:r>
              <w:rPr>
                <w:rFonts w:hint="eastAsia" w:ascii="Times New Roman" w:hAnsi="Times New Roman" w:eastAsia="Times New Roman" w:cs="Times New Roman"/>
                <w:b w:val="0"/>
                <w:bCs w:val="0"/>
                <w:spacing w:val="-2"/>
                <w:sz w:val="20"/>
                <w:szCs w:val="20"/>
                <w:lang w:val="en-US" w:eastAsia="zh-CN"/>
              </w:rPr>
              <w:t>30201</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rPr>
              <w:t>办公费</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2.25</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2.25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en-US"/>
              </w:rPr>
            </w:pPr>
            <w:r>
              <w:rPr>
                <w:rFonts w:hint="eastAsia" w:ascii="Times New Roman" w:hAnsi="Times New Roman" w:eastAsia="Times New Roman" w:cs="Times New Roman"/>
                <w:b w:val="0"/>
                <w:bCs w:val="0"/>
                <w:spacing w:val="-2"/>
                <w:sz w:val="20"/>
                <w:szCs w:val="20"/>
                <w:lang w:val="en-US" w:eastAsia="zh-CN"/>
              </w:rPr>
              <w:t>30209</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rPr>
              <w:t>物业管理费</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5.23</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5.23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en-US"/>
              </w:rPr>
            </w:pPr>
            <w:r>
              <w:rPr>
                <w:rFonts w:hint="eastAsia" w:ascii="Times New Roman" w:hAnsi="Times New Roman" w:eastAsia="Times New Roman" w:cs="Times New Roman"/>
                <w:b w:val="0"/>
                <w:bCs w:val="0"/>
                <w:spacing w:val="-2"/>
                <w:sz w:val="20"/>
                <w:szCs w:val="20"/>
                <w:lang w:val="en-US" w:eastAsia="zh-CN"/>
              </w:rPr>
              <w:t>30227</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rPr>
              <w:t>委托业务费</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8.00</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en-US"/>
              </w:rPr>
            </w:pPr>
            <w:r>
              <w:rPr>
                <w:rFonts w:hint="eastAsia" w:ascii="Times New Roman" w:hAnsi="Times New Roman" w:eastAsia="Times New Roman" w:cs="Times New Roman"/>
                <w:b w:val="0"/>
                <w:bCs w:val="0"/>
                <w:spacing w:val="-2"/>
                <w:sz w:val="20"/>
                <w:szCs w:val="20"/>
                <w:lang w:val="en-US" w:eastAsia="zh-CN"/>
              </w:rPr>
              <w:t>30299</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rPr>
              <w:t>其他商品和服务支出</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159.13</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159.13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bCs/>
                <w:spacing w:val="-2"/>
                <w:sz w:val="20"/>
                <w:szCs w:val="20"/>
                <w:lang w:val="en-US" w:eastAsia="en-US"/>
              </w:rPr>
            </w:pPr>
            <w:r>
              <w:rPr>
                <w:rFonts w:hint="eastAsia" w:ascii="Times New Roman" w:hAnsi="Times New Roman" w:eastAsia="Times New Roman" w:cs="Times New Roman"/>
                <w:b/>
                <w:bCs/>
                <w:spacing w:val="-2"/>
                <w:sz w:val="20"/>
                <w:szCs w:val="20"/>
                <w:lang w:val="en-US" w:eastAsia="zh-CN"/>
              </w:rPr>
              <w:t>303</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14:textOutline w14:w="3268" w14:cap="sq" w14:cmpd="sng">
                  <w14:solidFill>
                    <w14:srgbClr w14:val="000000"/>
                  </w14:solidFill>
                  <w14:prstDash w14:val="solid"/>
                  <w14:bevel/>
                </w14:textOutline>
              </w:rPr>
              <w:t>对个人和家庭的补助</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64.59</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64.59</w:t>
            </w: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en-US"/>
              </w:rPr>
            </w:pPr>
            <w:r>
              <w:rPr>
                <w:rFonts w:hint="eastAsia" w:ascii="Times New Roman" w:hAnsi="Times New Roman" w:eastAsia="Times New Roman" w:cs="Times New Roman"/>
                <w:b w:val="0"/>
                <w:bCs w:val="0"/>
                <w:spacing w:val="-2"/>
                <w:sz w:val="20"/>
                <w:szCs w:val="20"/>
                <w:lang w:val="en-US" w:eastAsia="zh-CN"/>
              </w:rPr>
              <w:t>30304</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rPr>
              <w:t>抚恤金</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32.59</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32.59</w:t>
            </w: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spacing w:before="187" w:line="188" w:lineRule="auto"/>
              <w:ind w:left="20"/>
              <w:rPr>
                <w:rFonts w:hint="eastAsia" w:ascii="Times New Roman" w:hAnsi="Times New Roman" w:eastAsia="Times New Roman" w:cs="Times New Roman"/>
                <w:b w:val="0"/>
                <w:bCs w:val="0"/>
                <w:spacing w:val="-2"/>
                <w:sz w:val="20"/>
                <w:szCs w:val="20"/>
                <w:lang w:val="en-US" w:eastAsia="en-US"/>
              </w:rPr>
            </w:pPr>
            <w:r>
              <w:rPr>
                <w:rFonts w:hint="eastAsia" w:ascii="Times New Roman" w:hAnsi="Times New Roman" w:eastAsia="Times New Roman" w:cs="Times New Roman"/>
                <w:b w:val="0"/>
                <w:bCs w:val="0"/>
                <w:spacing w:val="-2"/>
                <w:sz w:val="20"/>
                <w:szCs w:val="20"/>
                <w:lang w:val="en-US" w:eastAsia="zh-CN"/>
              </w:rPr>
              <w:t>30399</w:t>
            </w:r>
          </w:p>
        </w:tc>
        <w:tc>
          <w:tcPr>
            <w:tcW w:w="3116" w:type="dxa"/>
            <w:vAlign w:val="center"/>
          </w:tcPr>
          <w:p>
            <w:pPr>
              <w:spacing w:before="50" w:line="232" w:lineRule="auto"/>
              <w:ind w:right="68"/>
              <w:jc w:val="both"/>
              <w:rPr>
                <w:rFonts w:hint="eastAsia" w:ascii="宋体" w:hAnsi="宋体" w:eastAsia="宋体" w:cs="宋体"/>
                <w:spacing w:val="-1"/>
                <w:sz w:val="20"/>
                <w:szCs w:val="20"/>
                <w:lang w:val="en-US" w:eastAsia="en-US"/>
              </w:rPr>
            </w:pPr>
            <w:r>
              <w:rPr>
                <w:rFonts w:hint="eastAsia" w:ascii="宋体" w:hAnsi="宋体" w:eastAsia="宋体" w:cs="宋体"/>
                <w:spacing w:val="-1"/>
                <w:sz w:val="20"/>
                <w:szCs w:val="20"/>
                <w:lang w:val="en-US" w:eastAsia="zh-CN"/>
              </w:rPr>
              <w:t>其他对个人和家庭的补助</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32.00</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r>
              <w:rPr>
                <w:rFonts w:hint="eastAsia" w:ascii="Times New Roman" w:hAnsi="Times New Roman" w:eastAsia="宋体" w:cs="Times New Roman"/>
                <w:b w:val="0"/>
                <w:bCs w:val="0"/>
                <w:i w:val="0"/>
                <w:snapToGrid w:val="0"/>
                <w:color w:val="000000"/>
                <w:kern w:val="0"/>
                <w:sz w:val="20"/>
                <w:szCs w:val="20"/>
                <w:u w:val="none"/>
                <w:lang w:val="en-US" w:eastAsia="zh-CN" w:bidi="ar"/>
              </w:rPr>
              <w:t>32.00</w:t>
            </w: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val="0"/>
                <w:bCs w:val="0"/>
                <w:i w:val="0"/>
                <w:snapToGrid w:val="0"/>
                <w:color w:val="000000"/>
                <w:kern w:val="0"/>
                <w:sz w:val="20"/>
                <w:szCs w:val="20"/>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jc w:val="left"/>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p>
        </w:tc>
        <w:tc>
          <w:tcPr>
            <w:tcW w:w="31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宋体" w:hAnsi="宋体" w:eastAsia="宋体" w:cs="宋体"/>
                <w:b/>
                <w:i w:val="0"/>
                <w:snapToGrid w:val="0"/>
                <w:color w:val="000000"/>
                <w:kern w:val="0"/>
                <w:sz w:val="16"/>
                <w:szCs w:val="16"/>
                <w:u w:val="none"/>
                <w:lang w:val="en-US" w:eastAsia="zh-CN" w:bidi="ar"/>
              </w:rPr>
              <w:t>合        计</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3,505.00</w:t>
            </w:r>
          </w:p>
        </w:tc>
        <w:tc>
          <w:tcPr>
            <w:tcW w:w="1700"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3,330.39</w:t>
            </w:r>
          </w:p>
        </w:tc>
        <w:tc>
          <w:tcPr>
            <w:tcW w:w="1705" w:type="dxa"/>
            <w:vAlign w:val="center"/>
          </w:tcPr>
          <w:p>
            <w:pPr>
              <w:keepNext w:val="0"/>
              <w:keepLines w:val="0"/>
              <w:widowControl/>
              <w:suppressLineNumbers w:val="0"/>
              <w:jc w:val="right"/>
              <w:textAlignment w:val="bottom"/>
              <w:rPr>
                <w:rFonts w:hint="eastAsia" w:ascii="Times New Roman" w:hAnsi="Times New Roman" w:eastAsia="宋体" w:cs="Times New Roman"/>
                <w:b/>
                <w:bCs/>
                <w:i w:val="0"/>
                <w:snapToGrid w:val="0"/>
                <w:color w:val="000000"/>
                <w:kern w:val="0"/>
                <w:sz w:val="20"/>
                <w:szCs w:val="20"/>
                <w:u w:val="none"/>
                <w:lang w:val="en-US" w:eastAsia="zh-CN" w:bidi="ar"/>
              </w:rPr>
            </w:pPr>
            <w:r>
              <w:rPr>
                <w:rFonts w:hint="eastAsia" w:ascii="Times New Roman" w:hAnsi="Times New Roman" w:eastAsia="宋体" w:cs="Times New Roman"/>
                <w:b/>
                <w:bCs/>
                <w:i w:val="0"/>
                <w:snapToGrid w:val="0"/>
                <w:color w:val="000000"/>
                <w:kern w:val="0"/>
                <w:sz w:val="20"/>
                <w:szCs w:val="20"/>
                <w:u w:val="none"/>
                <w:lang w:val="en-US" w:eastAsia="zh-CN" w:bidi="ar"/>
              </w:rPr>
              <w:t>174.61</w:t>
            </w:r>
          </w:p>
        </w:tc>
      </w:tr>
    </w:tbl>
    <w:p>
      <w:pPr>
        <w:pStyle w:val="3"/>
        <w:spacing w:line="243" w:lineRule="auto"/>
        <w:jc w:val="center"/>
      </w:pPr>
    </w:p>
    <w:p>
      <w:pPr>
        <w:pStyle w:val="3"/>
        <w:spacing w:line="243" w:lineRule="auto"/>
        <w:jc w:val="center"/>
      </w:pPr>
    </w:p>
    <w:p>
      <w:pPr>
        <w:pStyle w:val="3"/>
        <w:spacing w:line="243" w:lineRule="auto"/>
        <w:jc w:val="center"/>
      </w:pPr>
    </w:p>
    <w:p>
      <w:pPr>
        <w:pStyle w:val="3"/>
        <w:spacing w:line="243" w:lineRule="auto"/>
        <w:jc w:val="center"/>
      </w:pPr>
    </w:p>
    <w:p>
      <w:pPr>
        <w:pStyle w:val="3"/>
        <w:spacing w:line="243" w:lineRule="auto"/>
        <w:jc w:val="center"/>
      </w:pPr>
    </w:p>
    <w:p>
      <w:pPr>
        <w:pStyle w:val="3"/>
        <w:spacing w:line="247"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center"/>
        <w:rPr>
          <w:rFonts w:ascii="微软雅黑" w:hAnsi="微软雅黑" w:eastAsia="微软雅黑" w:cs="微软雅黑"/>
          <w:spacing w:val="9"/>
          <w:sz w:val="31"/>
          <w:szCs w:val="31"/>
        </w:rPr>
      </w:pPr>
      <w:bookmarkStart w:id="7" w:name="bookmark13"/>
      <w:bookmarkEnd w:id="7"/>
      <w:r>
        <w:rPr>
          <w:rFonts w:ascii="微软雅黑" w:hAnsi="微软雅黑" w:eastAsia="微软雅黑" w:cs="微软雅黑"/>
          <w:spacing w:val="9"/>
          <w:sz w:val="31"/>
          <w:szCs w:val="31"/>
        </w:rPr>
        <w:t>政府性基金预算支出表</w:t>
      </w:r>
    </w:p>
    <w:p>
      <w:pPr>
        <w:spacing w:before="62" w:line="228" w:lineRule="auto"/>
        <w:ind w:right="16"/>
        <w:jc w:val="left"/>
        <w:rPr>
          <w:rFonts w:ascii="微软雅黑" w:hAnsi="微软雅黑" w:eastAsia="微软雅黑" w:cs="微软雅黑"/>
          <w:spacing w:val="9"/>
          <w:sz w:val="31"/>
          <w:szCs w:val="31"/>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4"/>
          <w:sz w:val="19"/>
          <w:szCs w:val="19"/>
        </w:rPr>
        <w:t xml:space="preserve"> </w:t>
      </w:r>
      <w:r>
        <w:rPr>
          <w:rFonts w:ascii="Times New Roman" w:hAnsi="Times New Roman" w:eastAsia="Times New Roman" w:cs="Times New Roman"/>
          <w:spacing w:val="6"/>
          <w:sz w:val="19"/>
          <w:szCs w:val="19"/>
        </w:rPr>
        <w:t>7</w:t>
      </w:r>
    </w:p>
    <w:p>
      <w:pPr>
        <w:spacing w:before="158" w:line="220" w:lineRule="auto"/>
        <w:ind w:right="20"/>
        <w:jc w:val="both"/>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w:t>
      </w:r>
      <w:r>
        <w:rPr>
          <w:rFonts w:ascii="Times New Roman" w:hAnsi="Times New Roman" w:eastAsia="Times New Roman" w:cs="Times New Roman"/>
          <w:spacing w:val="-2"/>
          <w:sz w:val="18"/>
          <w:szCs w:val="18"/>
        </w:rPr>
        <w:t>:</w:t>
      </w:r>
      <w:r>
        <w:rPr>
          <w:rFonts w:ascii="宋体" w:hAnsi="宋体" w:eastAsia="宋体" w:cs="宋体"/>
          <w:spacing w:val="-2"/>
          <w:sz w:val="18"/>
          <w:szCs w:val="18"/>
        </w:rPr>
        <w:t>万元</w:t>
      </w:r>
    </w:p>
    <w:p>
      <w:pPr>
        <w:spacing w:line="30" w:lineRule="exact"/>
      </w:pPr>
    </w:p>
    <w:tbl>
      <w:tblPr>
        <w:tblStyle w:val="8"/>
        <w:tblpPr w:leftFromText="180" w:rightFromText="180" w:vertAnchor="text" w:horzAnchor="page" w:tblpX="946" w:tblpY="65"/>
        <w:tblOverlap w:val="never"/>
        <w:tblW w:w="96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1"/>
        <w:gridCol w:w="3120"/>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381" w:type="dxa"/>
            <w:vMerge w:val="restart"/>
            <w:tcBorders>
              <w:bottom w:val="nil"/>
            </w:tcBorders>
            <w:vAlign w:val="top"/>
          </w:tcPr>
          <w:p>
            <w:pPr>
              <w:spacing w:line="380" w:lineRule="auto"/>
              <w:rPr>
                <w:rFonts w:ascii="Arial"/>
                <w:sz w:val="20"/>
                <w:szCs w:val="20"/>
              </w:rPr>
            </w:pPr>
          </w:p>
          <w:p>
            <w:pPr>
              <w:spacing w:before="62" w:line="227" w:lineRule="auto"/>
              <w:ind w:left="296"/>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科目编码</w:t>
            </w:r>
          </w:p>
        </w:tc>
        <w:tc>
          <w:tcPr>
            <w:tcW w:w="3120" w:type="dxa"/>
            <w:vMerge w:val="restart"/>
            <w:tcBorders>
              <w:bottom w:val="nil"/>
            </w:tcBorders>
            <w:vAlign w:val="top"/>
          </w:tcPr>
          <w:p>
            <w:pPr>
              <w:spacing w:line="380" w:lineRule="auto"/>
              <w:rPr>
                <w:rFonts w:ascii="Arial"/>
                <w:sz w:val="20"/>
                <w:szCs w:val="20"/>
              </w:rPr>
            </w:pPr>
          </w:p>
          <w:p>
            <w:pPr>
              <w:spacing w:before="62" w:line="227" w:lineRule="auto"/>
              <w:ind w:left="1163"/>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科目名称</w:t>
            </w:r>
          </w:p>
        </w:tc>
        <w:tc>
          <w:tcPr>
            <w:tcW w:w="5105" w:type="dxa"/>
            <w:gridSpan w:val="3"/>
            <w:vAlign w:val="top"/>
          </w:tcPr>
          <w:p>
            <w:pPr>
              <w:spacing w:before="178" w:line="227" w:lineRule="auto"/>
              <w:ind w:left="1328"/>
              <w:rPr>
                <w:rFonts w:ascii="宋体" w:hAnsi="宋体" w:eastAsia="宋体" w:cs="宋体"/>
                <w:sz w:val="20"/>
                <w:szCs w:val="20"/>
              </w:rPr>
            </w:pPr>
            <w:r>
              <w:rPr>
                <w:rFonts w:ascii="Times New Roman" w:hAnsi="Times New Roman" w:eastAsia="Times New Roman" w:cs="Times New Roman"/>
                <w:b/>
                <w:bCs/>
                <w:spacing w:val="8"/>
                <w:sz w:val="20"/>
                <w:szCs w:val="20"/>
              </w:rPr>
              <w:t xml:space="preserve">2024 </w:t>
            </w:r>
            <w:r>
              <w:rPr>
                <w:rFonts w:ascii="宋体" w:hAnsi="宋体" w:eastAsia="宋体" w:cs="宋体"/>
                <w:spacing w:val="8"/>
                <w:sz w:val="20"/>
                <w:szCs w:val="20"/>
                <w14:textOutline w14:w="3614" w14:cap="sq" w14:cmpd="sng">
                  <w14:solidFill>
                    <w14:srgbClr w14:val="000000"/>
                  </w14:solidFill>
                  <w14:prstDash w14:val="solid"/>
                  <w14:bevel/>
                </w14:textOutline>
              </w:rPr>
              <w:t>年政府性基金预算支出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Merge w:val="continue"/>
            <w:tcBorders>
              <w:top w:val="nil"/>
            </w:tcBorders>
            <w:vAlign w:val="top"/>
          </w:tcPr>
          <w:p>
            <w:pPr>
              <w:rPr>
                <w:rFonts w:ascii="Arial"/>
                <w:sz w:val="20"/>
                <w:szCs w:val="20"/>
              </w:rPr>
            </w:pPr>
          </w:p>
        </w:tc>
        <w:tc>
          <w:tcPr>
            <w:tcW w:w="3120" w:type="dxa"/>
            <w:vMerge w:val="continue"/>
            <w:tcBorders>
              <w:top w:val="nil"/>
            </w:tcBorders>
            <w:vAlign w:val="top"/>
          </w:tcPr>
          <w:p>
            <w:pPr>
              <w:rPr>
                <w:rFonts w:ascii="Arial"/>
                <w:sz w:val="20"/>
                <w:szCs w:val="20"/>
              </w:rPr>
            </w:pPr>
          </w:p>
        </w:tc>
        <w:tc>
          <w:tcPr>
            <w:tcW w:w="1700" w:type="dxa"/>
            <w:vAlign w:val="top"/>
          </w:tcPr>
          <w:p>
            <w:pPr>
              <w:spacing w:before="171" w:line="230" w:lineRule="auto"/>
              <w:ind w:left="655"/>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合计</w:t>
            </w:r>
          </w:p>
        </w:tc>
        <w:tc>
          <w:tcPr>
            <w:tcW w:w="1700" w:type="dxa"/>
            <w:vAlign w:val="top"/>
          </w:tcPr>
          <w:p>
            <w:pPr>
              <w:spacing w:before="172" w:line="227" w:lineRule="auto"/>
              <w:ind w:left="457"/>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基本支出</w:t>
            </w:r>
          </w:p>
        </w:tc>
        <w:tc>
          <w:tcPr>
            <w:tcW w:w="1705" w:type="dxa"/>
            <w:vAlign w:val="top"/>
          </w:tcPr>
          <w:p>
            <w:pPr>
              <w:spacing w:before="171" w:line="229" w:lineRule="auto"/>
              <w:ind w:left="45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501" w:type="dxa"/>
            <w:gridSpan w:val="2"/>
            <w:vAlign w:val="top"/>
          </w:tcPr>
          <w:p>
            <w:pPr>
              <w:spacing w:before="175" w:line="230" w:lineRule="auto"/>
              <w:ind w:left="1957"/>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合</w:t>
            </w:r>
            <w:r>
              <w:rPr>
                <w:rFonts w:ascii="宋体" w:hAnsi="宋体" w:eastAsia="宋体" w:cs="宋体"/>
                <w:spacing w:val="8"/>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计</w:t>
            </w: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bl>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z w:val="20"/>
          <w:szCs w:val="20"/>
        </w:rPr>
      </w:pPr>
      <w:r>
        <w:rPr>
          <w:rFonts w:ascii="微软雅黑" w:hAnsi="微软雅黑" w:eastAsia="微软雅黑" w:cs="微软雅黑"/>
          <w:spacing w:val="9"/>
          <w:sz w:val="20"/>
          <w:szCs w:val="20"/>
        </w:rPr>
        <w:t>（注：</w:t>
      </w:r>
      <w:r>
        <w:rPr>
          <w:rFonts w:ascii="Times New Roman" w:hAnsi="Times New Roman" w:eastAsia="Times New Roman" w:cs="Times New Roman"/>
          <w:spacing w:val="9"/>
          <w:sz w:val="20"/>
          <w:szCs w:val="20"/>
        </w:rPr>
        <w:t xml:space="preserve">2024 </w:t>
      </w:r>
      <w:r>
        <w:rPr>
          <w:rFonts w:ascii="微软雅黑" w:hAnsi="微软雅黑" w:eastAsia="微软雅黑" w:cs="微软雅黑"/>
          <w:spacing w:val="9"/>
          <w:sz w:val="20"/>
          <w:szCs w:val="20"/>
        </w:rPr>
        <w:t>年</w:t>
      </w:r>
      <w:r>
        <w:rPr>
          <w:rFonts w:hint="eastAsia" w:ascii="微软雅黑" w:hAnsi="微软雅黑" w:eastAsia="微软雅黑" w:cs="微软雅黑"/>
          <w:spacing w:val="9"/>
          <w:sz w:val="20"/>
          <w:szCs w:val="20"/>
          <w:lang w:val="en-US" w:eastAsia="zh-CN"/>
        </w:rPr>
        <w:t>湖北省消防救援总队本级</w:t>
      </w:r>
      <w:r>
        <w:rPr>
          <w:rFonts w:ascii="微软雅黑" w:hAnsi="微软雅黑" w:eastAsia="微软雅黑" w:cs="微软雅黑"/>
          <w:spacing w:val="9"/>
          <w:sz w:val="20"/>
          <w:szCs w:val="20"/>
        </w:rPr>
        <w:t>部门预算中没有使用政府性基金</w:t>
      </w:r>
      <w:r>
        <w:rPr>
          <w:rFonts w:ascii="微软雅黑" w:hAnsi="微软雅黑" w:eastAsia="微软雅黑" w:cs="微软雅黑"/>
          <w:spacing w:val="8"/>
          <w:sz w:val="20"/>
          <w:szCs w:val="20"/>
        </w:rPr>
        <w:t>预算拨款安排的支出</w:t>
      </w:r>
      <w:r>
        <w:rPr>
          <w:rFonts w:ascii="微软雅黑" w:hAnsi="微软雅黑" w:eastAsia="微软雅黑" w:cs="微软雅黑"/>
          <w:spacing w:val="-33"/>
          <w:sz w:val="20"/>
          <w:szCs w:val="20"/>
        </w:rPr>
        <w:t xml:space="preserve"> </w:t>
      </w:r>
      <w:r>
        <w:rPr>
          <w:rFonts w:ascii="微软雅黑" w:hAnsi="微软雅黑" w:eastAsia="微软雅黑" w:cs="微软雅黑"/>
          <w:spacing w:val="8"/>
          <w:sz w:val="20"/>
          <w:szCs w:val="20"/>
        </w:rPr>
        <w:t>。</w:t>
      </w:r>
      <w:r>
        <w:rPr>
          <w:rFonts w:ascii="微软雅黑" w:hAnsi="微软雅黑" w:eastAsia="微软雅黑" w:cs="微软雅黑"/>
          <w:spacing w:val="-27"/>
          <w:sz w:val="20"/>
          <w:szCs w:val="20"/>
        </w:rPr>
        <w:t xml:space="preserve"> </w:t>
      </w:r>
      <w:r>
        <w:rPr>
          <w:rFonts w:ascii="微软雅黑" w:hAnsi="微软雅黑" w:eastAsia="微软雅黑" w:cs="微软雅黑"/>
          <w:spacing w:val="8"/>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04" w:lineRule="auto"/>
        <w:ind w:firstLine="400" w:firstLineChars="200"/>
        <w:textAlignment w:val="baseline"/>
        <w:rPr>
          <w:rFonts w:ascii="微软雅黑" w:hAnsi="微软雅黑" w:eastAsia="微软雅黑" w:cs="微软雅黑"/>
          <w:sz w:val="20"/>
          <w:szCs w:val="20"/>
        </w:rPr>
        <w:sectPr>
          <w:footerReference r:id="rId15" w:type="default"/>
          <w:pgSz w:w="11907" w:h="16840"/>
          <w:pgMar w:top="720" w:right="720" w:bottom="720" w:left="720" w:header="0" w:footer="646" w:gutter="0"/>
          <w:pgNumType w:fmt="decimal"/>
          <w:cols w:space="720" w:num="1"/>
        </w:sectPr>
      </w:pPr>
    </w:p>
    <w:p>
      <w:pPr>
        <w:spacing w:before="62" w:line="228" w:lineRule="auto"/>
        <w:ind w:right="14"/>
        <w:jc w:val="center"/>
        <w:rPr>
          <w:rFonts w:ascii="微软雅黑" w:hAnsi="微软雅黑" w:eastAsia="微软雅黑" w:cs="微软雅黑"/>
          <w:spacing w:val="7"/>
          <w:sz w:val="31"/>
          <w:szCs w:val="31"/>
        </w:rPr>
      </w:pPr>
      <w:bookmarkStart w:id="8" w:name="bookmark14"/>
      <w:bookmarkEnd w:id="8"/>
      <w:r>
        <w:rPr>
          <w:rFonts w:ascii="微软雅黑" w:hAnsi="微软雅黑" w:eastAsia="微软雅黑" w:cs="微软雅黑"/>
          <w:spacing w:val="7"/>
          <w:sz w:val="31"/>
          <w:szCs w:val="31"/>
        </w:rPr>
        <w:t>国有资本经营预算支出表</w:t>
      </w:r>
    </w:p>
    <w:p>
      <w:pPr>
        <w:spacing w:before="62" w:line="228" w:lineRule="auto"/>
        <w:ind w:right="14"/>
        <w:jc w:val="both"/>
        <w:rPr>
          <w:rFonts w:ascii="微软雅黑" w:hAnsi="微软雅黑" w:eastAsia="微软雅黑" w:cs="微软雅黑"/>
          <w:spacing w:val="7"/>
          <w:sz w:val="31"/>
          <w:szCs w:val="31"/>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2"/>
          <w:sz w:val="19"/>
          <w:szCs w:val="19"/>
        </w:rPr>
        <w:t xml:space="preserve"> </w:t>
      </w:r>
      <w:r>
        <w:rPr>
          <w:rFonts w:ascii="Times New Roman" w:hAnsi="Times New Roman" w:eastAsia="Times New Roman" w:cs="Times New Roman"/>
          <w:spacing w:val="6"/>
          <w:sz w:val="19"/>
          <w:szCs w:val="19"/>
        </w:rPr>
        <w:t>8</w:t>
      </w:r>
    </w:p>
    <w:p>
      <w:pPr>
        <w:spacing w:before="105" w:line="220" w:lineRule="auto"/>
        <w:ind w:right="21"/>
        <w:jc w:val="both"/>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tbl>
      <w:tblPr>
        <w:tblStyle w:val="8"/>
        <w:tblpPr w:leftFromText="180" w:rightFromText="180" w:vertAnchor="text" w:horzAnchor="page" w:tblpX="957" w:tblpY="23"/>
        <w:tblOverlap w:val="never"/>
        <w:tblW w:w="96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2"/>
        <w:gridCol w:w="3139"/>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382" w:type="dxa"/>
            <w:vMerge w:val="restart"/>
            <w:tcBorders>
              <w:bottom w:val="nil"/>
            </w:tcBorders>
            <w:vAlign w:val="top"/>
          </w:tcPr>
          <w:p>
            <w:pPr>
              <w:spacing w:line="380" w:lineRule="auto"/>
              <w:rPr>
                <w:rFonts w:ascii="Arial"/>
                <w:sz w:val="20"/>
                <w:szCs w:val="20"/>
              </w:rPr>
            </w:pPr>
          </w:p>
          <w:p>
            <w:pPr>
              <w:spacing w:before="62" w:line="227" w:lineRule="auto"/>
              <w:ind w:left="296"/>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科目编码</w:t>
            </w:r>
          </w:p>
        </w:tc>
        <w:tc>
          <w:tcPr>
            <w:tcW w:w="3139" w:type="dxa"/>
            <w:vMerge w:val="restart"/>
            <w:tcBorders>
              <w:bottom w:val="nil"/>
            </w:tcBorders>
            <w:vAlign w:val="top"/>
          </w:tcPr>
          <w:p>
            <w:pPr>
              <w:spacing w:line="380" w:lineRule="auto"/>
              <w:rPr>
                <w:rFonts w:ascii="Arial"/>
                <w:sz w:val="20"/>
                <w:szCs w:val="20"/>
              </w:rPr>
            </w:pPr>
          </w:p>
          <w:p>
            <w:pPr>
              <w:spacing w:before="62" w:line="227" w:lineRule="auto"/>
              <w:ind w:left="1172"/>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科目名称</w:t>
            </w:r>
          </w:p>
        </w:tc>
        <w:tc>
          <w:tcPr>
            <w:tcW w:w="5105" w:type="dxa"/>
            <w:gridSpan w:val="3"/>
            <w:vAlign w:val="top"/>
          </w:tcPr>
          <w:p>
            <w:pPr>
              <w:spacing w:before="178" w:line="227" w:lineRule="auto"/>
              <w:ind w:left="1227"/>
              <w:rPr>
                <w:rFonts w:ascii="宋体" w:hAnsi="宋体" w:eastAsia="宋体" w:cs="宋体"/>
                <w:sz w:val="20"/>
                <w:szCs w:val="20"/>
              </w:rPr>
            </w:pPr>
            <w:r>
              <w:rPr>
                <w:rFonts w:ascii="Times New Roman" w:hAnsi="Times New Roman" w:eastAsia="Times New Roman" w:cs="Times New Roman"/>
                <w:b/>
                <w:bCs/>
                <w:spacing w:val="8"/>
                <w:sz w:val="20"/>
                <w:szCs w:val="20"/>
              </w:rPr>
              <w:t xml:space="preserve">2024 </w:t>
            </w:r>
            <w:r>
              <w:rPr>
                <w:rFonts w:ascii="宋体" w:hAnsi="宋体" w:eastAsia="宋体" w:cs="宋体"/>
                <w:spacing w:val="8"/>
                <w:sz w:val="20"/>
                <w:szCs w:val="20"/>
                <w14:textOutline w14:w="3614" w14:cap="sq" w14:cmpd="sng">
                  <w14:solidFill>
                    <w14:srgbClr w14:val="000000"/>
                  </w14:solidFill>
                  <w14:prstDash w14:val="solid"/>
                  <w14:bevel/>
                </w14:textOutline>
              </w:rPr>
              <w:t>年国有资本经营预算支出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Merge w:val="continue"/>
            <w:tcBorders>
              <w:top w:val="nil"/>
            </w:tcBorders>
            <w:vAlign w:val="top"/>
          </w:tcPr>
          <w:p>
            <w:pPr>
              <w:rPr>
                <w:rFonts w:ascii="Arial"/>
                <w:sz w:val="20"/>
                <w:szCs w:val="20"/>
              </w:rPr>
            </w:pPr>
          </w:p>
        </w:tc>
        <w:tc>
          <w:tcPr>
            <w:tcW w:w="3139" w:type="dxa"/>
            <w:vMerge w:val="continue"/>
            <w:tcBorders>
              <w:top w:val="nil"/>
            </w:tcBorders>
            <w:vAlign w:val="top"/>
          </w:tcPr>
          <w:p>
            <w:pPr>
              <w:rPr>
                <w:rFonts w:ascii="Arial"/>
                <w:sz w:val="20"/>
                <w:szCs w:val="20"/>
              </w:rPr>
            </w:pPr>
          </w:p>
        </w:tc>
        <w:tc>
          <w:tcPr>
            <w:tcW w:w="1700" w:type="dxa"/>
            <w:vAlign w:val="top"/>
          </w:tcPr>
          <w:p>
            <w:pPr>
              <w:spacing w:before="171" w:line="230" w:lineRule="auto"/>
              <w:ind w:left="660"/>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小计</w:t>
            </w:r>
          </w:p>
        </w:tc>
        <w:tc>
          <w:tcPr>
            <w:tcW w:w="1700" w:type="dxa"/>
            <w:vAlign w:val="top"/>
          </w:tcPr>
          <w:p>
            <w:pPr>
              <w:spacing w:before="172" w:line="227" w:lineRule="auto"/>
              <w:ind w:left="457"/>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基本支出</w:t>
            </w:r>
          </w:p>
        </w:tc>
        <w:tc>
          <w:tcPr>
            <w:tcW w:w="1705" w:type="dxa"/>
            <w:vAlign w:val="top"/>
          </w:tcPr>
          <w:p>
            <w:pPr>
              <w:spacing w:before="171" w:line="229" w:lineRule="auto"/>
              <w:ind w:left="45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521" w:type="dxa"/>
            <w:gridSpan w:val="2"/>
            <w:vAlign w:val="top"/>
          </w:tcPr>
          <w:p>
            <w:pPr>
              <w:spacing w:before="175" w:line="230" w:lineRule="auto"/>
              <w:ind w:left="1917"/>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合</w:t>
            </w:r>
            <w:r>
              <w:rPr>
                <w:rFonts w:ascii="宋体" w:hAnsi="宋体" w:eastAsia="宋体" w:cs="宋体"/>
                <w:spacing w:val="7"/>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计</w:t>
            </w: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bl>
    <w:p>
      <w:pPr>
        <w:spacing w:line="30" w:lineRule="exact"/>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z w:val="20"/>
          <w:szCs w:val="20"/>
        </w:rPr>
      </w:pPr>
      <w:r>
        <w:rPr>
          <w:rFonts w:ascii="微软雅黑" w:hAnsi="微软雅黑" w:eastAsia="微软雅黑" w:cs="微软雅黑"/>
          <w:spacing w:val="9"/>
          <w:sz w:val="20"/>
          <w:szCs w:val="20"/>
        </w:rPr>
        <w:t>（注：</w:t>
      </w:r>
      <w:r>
        <w:rPr>
          <w:rFonts w:ascii="Times New Roman" w:hAnsi="Times New Roman" w:eastAsia="Times New Roman" w:cs="Times New Roman"/>
          <w:spacing w:val="9"/>
          <w:sz w:val="20"/>
          <w:szCs w:val="20"/>
        </w:rPr>
        <w:t xml:space="preserve">2024 </w:t>
      </w:r>
      <w:r>
        <w:rPr>
          <w:rFonts w:ascii="微软雅黑" w:hAnsi="微软雅黑" w:eastAsia="微软雅黑" w:cs="微软雅黑"/>
          <w:spacing w:val="9"/>
          <w:sz w:val="20"/>
          <w:szCs w:val="20"/>
        </w:rPr>
        <w:t>年</w:t>
      </w:r>
      <w:r>
        <w:rPr>
          <w:rFonts w:hint="eastAsia" w:ascii="微软雅黑" w:hAnsi="微软雅黑" w:eastAsia="微软雅黑" w:cs="微软雅黑"/>
          <w:spacing w:val="9"/>
          <w:sz w:val="20"/>
          <w:szCs w:val="20"/>
          <w:lang w:val="en-US" w:eastAsia="zh-CN"/>
        </w:rPr>
        <w:t>湖北省消防救援总队</w:t>
      </w:r>
      <w:r>
        <w:rPr>
          <w:rFonts w:hint="eastAsia" w:ascii="微软雅黑" w:hAnsi="微软雅黑" w:eastAsia="微软雅黑" w:cs="微软雅黑"/>
          <w:spacing w:val="9"/>
          <w:sz w:val="20"/>
          <w:szCs w:val="20"/>
          <w:lang w:eastAsia="zh-CN"/>
        </w:rPr>
        <w:t>本级</w:t>
      </w:r>
      <w:r>
        <w:rPr>
          <w:rFonts w:ascii="微软雅黑" w:hAnsi="微软雅黑" w:eastAsia="微软雅黑" w:cs="微软雅黑"/>
          <w:spacing w:val="9"/>
          <w:sz w:val="20"/>
          <w:szCs w:val="20"/>
        </w:rPr>
        <w:t>部门预算中没有使用国有资本经营预算</w:t>
      </w:r>
      <w:r>
        <w:rPr>
          <w:rFonts w:ascii="微软雅黑" w:hAnsi="微软雅黑" w:eastAsia="微软雅黑" w:cs="微软雅黑"/>
          <w:spacing w:val="8"/>
          <w:sz w:val="20"/>
          <w:szCs w:val="20"/>
        </w:rPr>
        <w:t>拨款安排的支出</w:t>
      </w:r>
      <w:r>
        <w:rPr>
          <w:rFonts w:ascii="微软雅黑" w:hAnsi="微软雅黑" w:eastAsia="微软雅黑" w:cs="微软雅黑"/>
          <w:spacing w:val="-33"/>
          <w:sz w:val="20"/>
          <w:szCs w:val="20"/>
        </w:rPr>
        <w:t xml:space="preserve"> </w:t>
      </w:r>
      <w:r>
        <w:rPr>
          <w:rFonts w:ascii="微软雅黑" w:hAnsi="微软雅黑" w:eastAsia="微软雅黑" w:cs="微软雅黑"/>
          <w:spacing w:val="8"/>
          <w:sz w:val="20"/>
          <w:szCs w:val="20"/>
        </w:rPr>
        <w:t>。</w:t>
      </w:r>
      <w:r>
        <w:rPr>
          <w:rFonts w:ascii="微软雅黑" w:hAnsi="微软雅黑" w:eastAsia="微软雅黑" w:cs="微软雅黑"/>
          <w:spacing w:val="-30"/>
          <w:sz w:val="20"/>
          <w:szCs w:val="20"/>
        </w:rPr>
        <w:t xml:space="preserve"> </w:t>
      </w:r>
      <w:r>
        <w:rPr>
          <w:rFonts w:ascii="微软雅黑" w:hAnsi="微软雅黑" w:eastAsia="微软雅黑" w:cs="微软雅黑"/>
          <w:spacing w:val="8"/>
          <w:sz w:val="20"/>
          <w:szCs w:val="20"/>
        </w:rPr>
        <w:t>）</w:t>
      </w:r>
    </w:p>
    <w:p>
      <w:pPr>
        <w:spacing w:line="205" w:lineRule="auto"/>
        <w:rPr>
          <w:rFonts w:ascii="微软雅黑" w:hAnsi="微软雅黑" w:eastAsia="微软雅黑" w:cs="微软雅黑"/>
          <w:sz w:val="20"/>
          <w:szCs w:val="20"/>
        </w:rPr>
      </w:pPr>
    </w:p>
    <w:p>
      <w:pPr>
        <w:spacing w:line="205" w:lineRule="auto"/>
        <w:rPr>
          <w:rFonts w:ascii="微软雅黑" w:hAnsi="微软雅黑" w:eastAsia="微软雅黑" w:cs="微软雅黑"/>
          <w:sz w:val="20"/>
          <w:szCs w:val="20"/>
        </w:rPr>
        <w:sectPr>
          <w:footerReference r:id="rId16" w:type="default"/>
          <w:pgSz w:w="11907" w:h="16840"/>
          <w:pgMar w:top="720" w:right="720" w:bottom="720" w:left="720" w:header="0" w:footer="646" w:gutter="0"/>
          <w:pgNumType w:fmt="decimal"/>
          <w:cols w:space="720" w:num="1"/>
        </w:sectPr>
      </w:pPr>
    </w:p>
    <w:p>
      <w:pPr>
        <w:pStyle w:val="3"/>
        <w:spacing w:line="298" w:lineRule="auto"/>
      </w:pPr>
    </w:p>
    <w:p>
      <w:pPr>
        <w:pStyle w:val="3"/>
        <w:spacing w:line="298" w:lineRule="auto"/>
      </w:pPr>
    </w:p>
    <w:p>
      <w:pPr>
        <w:pStyle w:val="3"/>
        <w:spacing w:line="298" w:lineRule="auto"/>
      </w:pPr>
    </w:p>
    <w:p>
      <w:pPr>
        <w:spacing w:before="170" w:line="188" w:lineRule="auto"/>
        <w:jc w:val="center"/>
        <w:rPr>
          <w:rFonts w:ascii="微软雅黑" w:hAnsi="微软雅黑" w:eastAsia="微软雅黑" w:cs="微软雅黑"/>
          <w:spacing w:val="8"/>
          <w:sz w:val="31"/>
          <w:szCs w:val="31"/>
        </w:rPr>
      </w:pPr>
      <w:r>
        <w:rPr>
          <w:rFonts w:ascii="微软雅黑" w:hAnsi="微软雅黑" w:eastAsia="微软雅黑" w:cs="微软雅黑"/>
          <w:spacing w:val="8"/>
          <w:sz w:val="31"/>
          <w:szCs w:val="31"/>
        </w:rPr>
        <w:t>财政拨款预算</w:t>
      </w:r>
      <w:r>
        <w:rPr>
          <w:rFonts w:ascii="Times New Roman" w:hAnsi="Times New Roman" w:eastAsia="Times New Roman" w:cs="Times New Roman"/>
          <w:spacing w:val="8"/>
          <w:position w:val="-1"/>
          <w:sz w:val="31"/>
          <w:szCs w:val="31"/>
        </w:rPr>
        <w:t>“</w:t>
      </w:r>
      <w:r>
        <w:rPr>
          <w:rFonts w:ascii="微软雅黑" w:hAnsi="微软雅黑" w:eastAsia="微软雅黑" w:cs="微软雅黑"/>
          <w:spacing w:val="8"/>
          <w:sz w:val="31"/>
          <w:szCs w:val="31"/>
        </w:rPr>
        <w:t>三公</w:t>
      </w:r>
      <w:r>
        <w:rPr>
          <w:rFonts w:ascii="Times New Roman" w:hAnsi="Times New Roman" w:eastAsia="Times New Roman" w:cs="Times New Roman"/>
          <w:spacing w:val="8"/>
          <w:position w:val="-1"/>
          <w:sz w:val="31"/>
          <w:szCs w:val="31"/>
        </w:rPr>
        <w:t>”</w:t>
      </w:r>
      <w:r>
        <w:rPr>
          <w:rFonts w:ascii="微软雅黑" w:hAnsi="微软雅黑" w:eastAsia="微软雅黑" w:cs="微软雅黑"/>
          <w:spacing w:val="8"/>
          <w:sz w:val="31"/>
          <w:szCs w:val="31"/>
        </w:rPr>
        <w:t>经费支出表</w:t>
      </w:r>
    </w:p>
    <w:p>
      <w:pPr>
        <w:spacing w:before="170" w:line="188" w:lineRule="auto"/>
        <w:rPr>
          <w:rFonts w:ascii="Times New Roman" w:hAnsi="Times New Roman" w:eastAsia="Times New Roman" w:cs="Times New Roman"/>
          <w:spacing w:val="6"/>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6"/>
          <w:sz w:val="19"/>
          <w:szCs w:val="19"/>
        </w:rPr>
        <w:t xml:space="preserve"> </w:t>
      </w:r>
      <w:r>
        <w:rPr>
          <w:rFonts w:ascii="Times New Roman" w:hAnsi="Times New Roman" w:eastAsia="Times New Roman" w:cs="Times New Roman"/>
          <w:spacing w:val="6"/>
          <w:sz w:val="19"/>
          <w:szCs w:val="19"/>
        </w:rPr>
        <w:t>9</w:t>
      </w:r>
    </w:p>
    <w:p>
      <w:pPr>
        <w:spacing w:before="170" w:line="188" w:lineRule="auto"/>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p>
      <w:pPr>
        <w:pStyle w:val="3"/>
      </w:pPr>
    </w:p>
    <w:tbl>
      <w:tblPr>
        <w:tblStyle w:val="8"/>
        <w:tblpPr w:leftFromText="180" w:rightFromText="180" w:vertAnchor="text" w:horzAnchor="page" w:tblpX="1567" w:tblpY="78"/>
        <w:tblOverlap w:val="never"/>
        <w:tblW w:w="134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2153"/>
        <w:gridCol w:w="2267"/>
        <w:gridCol w:w="2267"/>
        <w:gridCol w:w="2267"/>
        <w:gridCol w:w="2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3498" w:type="dxa"/>
            <w:gridSpan w:val="6"/>
            <w:vAlign w:val="top"/>
          </w:tcPr>
          <w:p>
            <w:pPr>
              <w:spacing w:before="252" w:line="228" w:lineRule="auto"/>
              <w:ind w:left="6127"/>
              <w:rPr>
                <w:rFonts w:ascii="宋体" w:hAnsi="宋体" w:eastAsia="宋体" w:cs="宋体"/>
                <w:sz w:val="20"/>
                <w:szCs w:val="20"/>
              </w:rPr>
            </w:pPr>
            <w:r>
              <w:rPr>
                <w:rFonts w:ascii="Times New Roman" w:hAnsi="Times New Roman" w:eastAsia="Times New Roman" w:cs="Times New Roman"/>
                <w:b/>
                <w:bCs/>
                <w:spacing w:val="6"/>
                <w:sz w:val="20"/>
                <w:szCs w:val="20"/>
              </w:rPr>
              <w:t xml:space="preserve">2024 </w:t>
            </w:r>
            <w:r>
              <w:rPr>
                <w:rFonts w:ascii="宋体" w:hAnsi="宋体" w:eastAsia="宋体" w:cs="宋体"/>
                <w:spacing w:val="6"/>
                <w:sz w:val="20"/>
                <w:szCs w:val="20"/>
                <w14:textOutline w14:w="3614" w14:cap="sq" w14:cmpd="sng">
                  <w14:solidFill>
                    <w14:srgbClr w14:val="000000"/>
                  </w14:solidFill>
                  <w14:prstDash w14:val="solid"/>
                  <w14:bevel/>
                </w14:textOutline>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2272" w:type="dxa"/>
            <w:vMerge w:val="restart"/>
            <w:tcBorders>
              <w:bottom w:val="nil"/>
            </w:tcBorders>
            <w:vAlign w:val="top"/>
          </w:tcPr>
          <w:p>
            <w:pPr>
              <w:spacing w:line="332" w:lineRule="auto"/>
              <w:rPr>
                <w:rFonts w:ascii="Arial"/>
                <w:sz w:val="20"/>
                <w:szCs w:val="20"/>
              </w:rPr>
            </w:pPr>
          </w:p>
          <w:p>
            <w:pPr>
              <w:spacing w:line="333" w:lineRule="auto"/>
              <w:rPr>
                <w:rFonts w:ascii="Arial"/>
                <w:sz w:val="20"/>
                <w:szCs w:val="20"/>
              </w:rPr>
            </w:pPr>
          </w:p>
          <w:p>
            <w:pPr>
              <w:spacing w:before="62" w:line="230" w:lineRule="auto"/>
              <w:ind w:left="942"/>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合计</w:t>
            </w:r>
          </w:p>
        </w:tc>
        <w:tc>
          <w:tcPr>
            <w:tcW w:w="2153" w:type="dxa"/>
            <w:vMerge w:val="restart"/>
            <w:tcBorders>
              <w:bottom w:val="nil"/>
            </w:tcBorders>
            <w:vAlign w:val="top"/>
          </w:tcPr>
          <w:p>
            <w:pPr>
              <w:spacing w:line="332" w:lineRule="auto"/>
              <w:rPr>
                <w:rFonts w:ascii="Arial"/>
                <w:sz w:val="20"/>
                <w:szCs w:val="20"/>
              </w:rPr>
            </w:pPr>
          </w:p>
          <w:p>
            <w:pPr>
              <w:spacing w:line="333" w:lineRule="auto"/>
              <w:rPr>
                <w:rFonts w:ascii="Arial"/>
                <w:sz w:val="20"/>
                <w:szCs w:val="20"/>
              </w:rPr>
            </w:pPr>
          </w:p>
          <w:p>
            <w:pPr>
              <w:spacing w:before="62" w:line="229" w:lineRule="auto"/>
              <w:ind w:left="295"/>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因公出国（境）费</w:t>
            </w:r>
          </w:p>
        </w:tc>
        <w:tc>
          <w:tcPr>
            <w:tcW w:w="6801" w:type="dxa"/>
            <w:gridSpan w:val="3"/>
            <w:vAlign w:val="top"/>
          </w:tcPr>
          <w:p>
            <w:pPr>
              <w:spacing w:line="289" w:lineRule="auto"/>
              <w:rPr>
                <w:rFonts w:ascii="Arial"/>
                <w:sz w:val="20"/>
                <w:szCs w:val="20"/>
              </w:rPr>
            </w:pPr>
          </w:p>
          <w:p>
            <w:pPr>
              <w:spacing w:before="62" w:line="228" w:lineRule="auto"/>
              <w:ind w:left="2412"/>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公务用车购置及运行费</w:t>
            </w:r>
          </w:p>
        </w:tc>
        <w:tc>
          <w:tcPr>
            <w:tcW w:w="2272" w:type="dxa"/>
            <w:vMerge w:val="restart"/>
            <w:tcBorders>
              <w:bottom w:val="nil"/>
            </w:tcBorders>
            <w:vAlign w:val="top"/>
          </w:tcPr>
          <w:p>
            <w:pPr>
              <w:spacing w:line="333" w:lineRule="auto"/>
              <w:rPr>
                <w:rFonts w:ascii="Arial"/>
                <w:sz w:val="20"/>
                <w:szCs w:val="20"/>
              </w:rPr>
            </w:pPr>
          </w:p>
          <w:p>
            <w:pPr>
              <w:spacing w:line="333" w:lineRule="auto"/>
              <w:rPr>
                <w:rFonts w:ascii="Arial"/>
                <w:sz w:val="20"/>
                <w:szCs w:val="20"/>
              </w:rPr>
            </w:pPr>
          </w:p>
          <w:p>
            <w:pPr>
              <w:spacing w:before="62" w:line="228" w:lineRule="auto"/>
              <w:ind w:left="648"/>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2272" w:type="dxa"/>
            <w:vMerge w:val="continue"/>
            <w:tcBorders>
              <w:top w:val="nil"/>
            </w:tcBorders>
            <w:vAlign w:val="top"/>
          </w:tcPr>
          <w:p>
            <w:pPr>
              <w:rPr>
                <w:rFonts w:ascii="Arial"/>
                <w:sz w:val="20"/>
                <w:szCs w:val="20"/>
              </w:rPr>
            </w:pPr>
          </w:p>
        </w:tc>
        <w:tc>
          <w:tcPr>
            <w:tcW w:w="2153" w:type="dxa"/>
            <w:vMerge w:val="continue"/>
            <w:tcBorders>
              <w:top w:val="nil"/>
            </w:tcBorders>
            <w:vAlign w:val="top"/>
          </w:tcPr>
          <w:p>
            <w:pPr>
              <w:rPr>
                <w:rFonts w:ascii="Arial"/>
                <w:sz w:val="20"/>
                <w:szCs w:val="20"/>
              </w:rPr>
            </w:pPr>
          </w:p>
        </w:tc>
        <w:tc>
          <w:tcPr>
            <w:tcW w:w="2267" w:type="dxa"/>
            <w:vAlign w:val="top"/>
          </w:tcPr>
          <w:p>
            <w:pPr>
              <w:spacing w:before="287" w:line="230" w:lineRule="auto"/>
              <w:ind w:left="944"/>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小计</w:t>
            </w:r>
          </w:p>
        </w:tc>
        <w:tc>
          <w:tcPr>
            <w:tcW w:w="2267" w:type="dxa"/>
            <w:vAlign w:val="top"/>
          </w:tcPr>
          <w:p>
            <w:pPr>
              <w:spacing w:before="131" w:line="312" w:lineRule="exact"/>
              <w:ind w:left="745"/>
              <w:rPr>
                <w:rFonts w:ascii="宋体" w:hAnsi="宋体" w:eastAsia="宋体" w:cs="宋体"/>
                <w:sz w:val="20"/>
                <w:szCs w:val="20"/>
              </w:rPr>
            </w:pPr>
            <w:r>
              <w:rPr>
                <w:rFonts w:ascii="宋体" w:hAnsi="宋体" w:eastAsia="宋体" w:cs="宋体"/>
                <w:spacing w:val="6"/>
                <w:position w:val="8"/>
                <w:sz w:val="20"/>
                <w:szCs w:val="20"/>
                <w14:textOutline w14:w="3614" w14:cap="sq" w14:cmpd="sng">
                  <w14:solidFill>
                    <w14:srgbClr w14:val="000000"/>
                  </w14:solidFill>
                  <w14:prstDash w14:val="solid"/>
                  <w14:bevel/>
                </w14:textOutline>
              </w:rPr>
              <w:t>公务用车</w:t>
            </w:r>
          </w:p>
          <w:p>
            <w:pPr>
              <w:spacing w:line="228" w:lineRule="auto"/>
              <w:ind w:left="838"/>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购置费</w:t>
            </w:r>
          </w:p>
        </w:tc>
        <w:tc>
          <w:tcPr>
            <w:tcW w:w="2267" w:type="dxa"/>
            <w:vAlign w:val="top"/>
          </w:tcPr>
          <w:p>
            <w:pPr>
              <w:spacing w:before="131" w:line="312" w:lineRule="exact"/>
              <w:ind w:left="746"/>
              <w:rPr>
                <w:rFonts w:ascii="宋体" w:hAnsi="宋体" w:eastAsia="宋体" w:cs="宋体"/>
                <w:sz w:val="20"/>
                <w:szCs w:val="20"/>
              </w:rPr>
            </w:pPr>
            <w:r>
              <w:rPr>
                <w:rFonts w:ascii="宋体" w:hAnsi="宋体" w:eastAsia="宋体" w:cs="宋体"/>
                <w:spacing w:val="6"/>
                <w:position w:val="8"/>
                <w:sz w:val="20"/>
                <w:szCs w:val="20"/>
                <w14:textOutline w14:w="3614" w14:cap="sq" w14:cmpd="sng">
                  <w14:solidFill>
                    <w14:srgbClr w14:val="000000"/>
                  </w14:solidFill>
                  <w14:prstDash w14:val="solid"/>
                  <w14:bevel/>
                </w14:textOutline>
              </w:rPr>
              <w:t>公务用车</w:t>
            </w:r>
          </w:p>
          <w:p>
            <w:pPr>
              <w:spacing w:line="228" w:lineRule="auto"/>
              <w:ind w:left="840"/>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运行费</w:t>
            </w:r>
          </w:p>
        </w:tc>
        <w:tc>
          <w:tcPr>
            <w:tcW w:w="2272" w:type="dxa"/>
            <w:vMerge w:val="continue"/>
            <w:tcBorders>
              <w:top w:val="nil"/>
            </w:tcBorders>
            <w:vAlign w:val="top"/>
          </w:tcPr>
          <w:p>
            <w:pPr>
              <w:rPr>
                <w:rFonts w:ascii="Arial"/>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2272" w:type="dxa"/>
            <w:vAlign w:val="center"/>
          </w:tcPr>
          <w:p>
            <w:pPr>
              <w:keepNext w:val="0"/>
              <w:keepLines w:val="0"/>
              <w:widowControl/>
              <w:suppressLineNumbers w:val="0"/>
              <w:jc w:val="left"/>
              <w:textAlignment w:val="center"/>
              <w:rPr>
                <w:rFonts w:ascii="Times New Roman" w:hAnsi="Times New Roman" w:eastAsia="Times New Roman" w:cs="Times New Roman"/>
                <w:sz w:val="20"/>
                <w:szCs w:val="20"/>
              </w:rPr>
            </w:pPr>
          </w:p>
        </w:tc>
        <w:tc>
          <w:tcPr>
            <w:tcW w:w="2153" w:type="dxa"/>
            <w:vAlign w:val="center"/>
          </w:tcPr>
          <w:p>
            <w:pPr>
              <w:rPr>
                <w:rFonts w:ascii="Times New Roman" w:hAnsi="Times New Roman" w:eastAsia="Times New Roman" w:cs="Times New Roman"/>
                <w:sz w:val="20"/>
                <w:szCs w:val="20"/>
              </w:rPr>
            </w:pPr>
          </w:p>
        </w:tc>
        <w:tc>
          <w:tcPr>
            <w:tcW w:w="2267" w:type="dxa"/>
            <w:vAlign w:val="center"/>
          </w:tcPr>
          <w:p>
            <w:pPr>
              <w:keepNext w:val="0"/>
              <w:keepLines w:val="0"/>
              <w:widowControl/>
              <w:suppressLineNumbers w:val="0"/>
              <w:jc w:val="center"/>
              <w:textAlignment w:val="center"/>
              <w:rPr>
                <w:rFonts w:ascii="Times New Roman" w:hAnsi="Times New Roman" w:eastAsia="Times New Roman" w:cs="Times New Roman"/>
                <w:sz w:val="20"/>
                <w:szCs w:val="20"/>
              </w:rPr>
            </w:pPr>
          </w:p>
        </w:tc>
        <w:tc>
          <w:tcPr>
            <w:tcW w:w="2267" w:type="dxa"/>
            <w:vAlign w:val="center"/>
          </w:tcPr>
          <w:p>
            <w:pPr>
              <w:rPr>
                <w:rFonts w:ascii="Times New Roman" w:hAnsi="Times New Roman" w:eastAsia="Times New Roman" w:cs="Times New Roman"/>
                <w:sz w:val="20"/>
                <w:szCs w:val="20"/>
              </w:rPr>
            </w:pPr>
          </w:p>
        </w:tc>
        <w:tc>
          <w:tcPr>
            <w:tcW w:w="2267" w:type="dxa"/>
            <w:vAlign w:val="center"/>
          </w:tcPr>
          <w:p>
            <w:pPr>
              <w:keepNext w:val="0"/>
              <w:keepLines w:val="0"/>
              <w:widowControl/>
              <w:suppressLineNumbers w:val="0"/>
              <w:jc w:val="center"/>
              <w:textAlignment w:val="center"/>
              <w:rPr>
                <w:rFonts w:ascii="Times New Roman" w:hAnsi="Times New Roman" w:eastAsia="Times New Roman" w:cs="Times New Roman"/>
                <w:sz w:val="20"/>
                <w:szCs w:val="20"/>
              </w:rPr>
            </w:pPr>
          </w:p>
        </w:tc>
        <w:tc>
          <w:tcPr>
            <w:tcW w:w="2272" w:type="dxa"/>
            <w:vAlign w:val="center"/>
          </w:tcPr>
          <w:p>
            <w:pPr>
              <w:keepNext w:val="0"/>
              <w:keepLines w:val="0"/>
              <w:widowControl/>
              <w:suppressLineNumbers w:val="0"/>
              <w:jc w:val="center"/>
              <w:textAlignment w:val="center"/>
              <w:rPr>
                <w:rFonts w:ascii="Times New Roman" w:hAnsi="Times New Roman" w:eastAsia="Times New Roman" w:cs="Times New Roman"/>
                <w:sz w:val="20"/>
                <w:szCs w:val="20"/>
              </w:rPr>
            </w:pPr>
          </w:p>
        </w:tc>
      </w:tr>
    </w:tbl>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pPr>
      <w:r>
        <w:rPr>
          <w:rFonts w:ascii="微软雅黑" w:hAnsi="微软雅黑" w:eastAsia="微软雅黑" w:cs="微软雅黑"/>
          <w:spacing w:val="9"/>
          <w:sz w:val="20"/>
          <w:szCs w:val="20"/>
        </w:rPr>
        <w:t>（注：2024 年</w:t>
      </w:r>
      <w:r>
        <w:rPr>
          <w:rFonts w:hint="eastAsia" w:ascii="微软雅黑" w:hAnsi="微软雅黑" w:eastAsia="微软雅黑" w:cs="微软雅黑"/>
          <w:spacing w:val="9"/>
          <w:sz w:val="20"/>
          <w:szCs w:val="20"/>
          <w:lang w:val="en-US" w:eastAsia="zh-CN"/>
        </w:rPr>
        <w:t>湖北省消防救援总队</w:t>
      </w:r>
      <w:r>
        <w:rPr>
          <w:rFonts w:hint="eastAsia" w:ascii="微软雅黑" w:hAnsi="微软雅黑" w:eastAsia="微软雅黑" w:cs="微软雅黑"/>
          <w:spacing w:val="9"/>
          <w:sz w:val="20"/>
          <w:szCs w:val="20"/>
          <w:lang w:eastAsia="zh-CN"/>
        </w:rPr>
        <w:t>本级</w:t>
      </w:r>
      <w:r>
        <w:rPr>
          <w:rFonts w:ascii="微软雅黑" w:hAnsi="微软雅黑" w:eastAsia="微软雅黑" w:cs="微软雅黑"/>
          <w:spacing w:val="9"/>
          <w:sz w:val="20"/>
          <w:szCs w:val="20"/>
        </w:rPr>
        <w:t>部门预算中没有使用</w:t>
      </w:r>
      <w:r>
        <w:rPr>
          <w:rFonts w:hint="eastAsia" w:ascii="微软雅黑" w:hAnsi="微软雅黑" w:eastAsia="微软雅黑" w:cs="微软雅黑"/>
          <w:spacing w:val="9"/>
          <w:sz w:val="20"/>
          <w:szCs w:val="20"/>
          <w:lang w:eastAsia="zh-CN"/>
        </w:rPr>
        <w:t>财政</w:t>
      </w:r>
      <w:r>
        <w:rPr>
          <w:rFonts w:ascii="微软雅黑" w:hAnsi="微软雅黑" w:eastAsia="微软雅黑" w:cs="微软雅黑"/>
          <w:spacing w:val="9"/>
          <w:sz w:val="20"/>
          <w:szCs w:val="20"/>
        </w:rPr>
        <w:t>预算拨款安排的支出 。 ）</w:t>
      </w: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pacing w:val="9"/>
          <w:sz w:val="20"/>
          <w:szCs w:val="20"/>
        </w:rPr>
        <w:sectPr>
          <w:footerReference r:id="rId17" w:type="default"/>
          <w:pgSz w:w="16838" w:h="11906" w:orient="landscape"/>
          <w:pgMar w:top="720" w:right="720" w:bottom="720" w:left="720" w:header="0" w:footer="646" w:gutter="0"/>
          <w:pgNumType w:fmt="decimal"/>
          <w:cols w:space="720" w:num="1"/>
        </w:sect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3584" w:lineRule="exact"/>
      </w:pPr>
      <w:r>
        <w:rPr>
          <w:sz w:val="21"/>
        </w:rPr>
        <mc:AlternateContent>
          <mc:Choice Requires="wps">
            <w:drawing>
              <wp:anchor distT="0" distB="0" distL="114300" distR="114300" simplePos="0" relativeHeight="251661312" behindDoc="0" locked="0" layoutInCell="1" allowOverlap="1">
                <wp:simplePos x="0" y="0"/>
                <wp:positionH relativeFrom="column">
                  <wp:posOffset>-960120</wp:posOffset>
                </wp:positionH>
                <wp:positionV relativeFrom="paragraph">
                  <wp:posOffset>913130</wp:posOffset>
                </wp:positionV>
                <wp:extent cx="7537450" cy="2234565"/>
                <wp:effectExtent l="4445" t="4445" r="17145" b="16510"/>
                <wp:wrapNone/>
                <wp:docPr id="14" name="文本框 14"/>
                <wp:cNvGraphicFramePr/>
                <a:graphic xmlns:a="http://schemas.openxmlformats.org/drawingml/2006/main">
                  <a:graphicData uri="http://schemas.microsoft.com/office/word/2010/wordprocessingShape">
                    <wps:wsp>
                      <wps:cNvSpPr txBox="1"/>
                      <wps:spPr>
                        <a:xfrm>
                          <a:off x="326390" y="4509135"/>
                          <a:ext cx="7537450" cy="2234565"/>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before="250" w:line="181" w:lineRule="auto"/>
                              <w:ind w:left="1179"/>
                              <w:rPr>
                                <w:rFonts w:ascii="微软雅黑" w:hAnsi="微软雅黑" w:eastAsia="微软雅黑" w:cs="微软雅黑"/>
                                <w:sz w:val="52"/>
                                <w:szCs w:val="52"/>
                              </w:rPr>
                            </w:pPr>
                            <w:r>
                              <w:rPr>
                                <w:rFonts w:ascii="微软雅黑" w:hAnsi="微软雅黑" w:eastAsia="微软雅黑" w:cs="微软雅黑"/>
                                <w:spacing w:val="-2"/>
                                <w:sz w:val="52"/>
                                <w:szCs w:val="52"/>
                              </w:rPr>
                              <w:t>第三部分</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r>
                              <w:rPr>
                                <w:rFonts w:hint="eastAsia" w:ascii="微软雅黑" w:hAnsi="微软雅黑" w:eastAsia="微软雅黑" w:cs="微软雅黑"/>
                                <w:spacing w:val="2"/>
                                <w:sz w:val="71"/>
                                <w:szCs w:val="71"/>
                                <w:lang w:val="en-US" w:eastAsia="zh-CN"/>
                              </w:rPr>
                              <w:t>湖北省消防救援总队本级</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pPr>
                            <w:r>
                              <w:rPr>
                                <w:rFonts w:ascii="微软雅黑" w:hAnsi="微软雅黑" w:eastAsia="微软雅黑" w:cs="微软雅黑"/>
                                <w:spacing w:val="-13"/>
                                <w:sz w:val="71"/>
                                <w:szCs w:val="71"/>
                              </w:rPr>
                              <w:t>2024年部门预算情况说明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6pt;margin-top:71.9pt;height:175.95pt;width:593.5pt;z-index:251661312;mso-width-relative:page;mso-height-relative:page;" fillcolor="#92D050" filled="t" stroked="t" coordsize="21600,21600" o:gfxdata="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iAfu2wAAAA0BAAAPAAAAAAAAAAEAIAAAACIAAABkcnMvZG93bnJldi54bWxQ&#10;SwECFAAUAAAACACHTuJAbHnDwGYCAADFBAAADgAAAAAAAAABACAAAAAqAQAAZHJzL2Uyb0RvYy54&#10;bWxQSwUGAAAAAAYABgBZAQAAAgYAAAAA&#10;">
                <v:fill on="t" focussize="0,0"/>
                <v:stroke weight="0.5pt" color="#000000 [3204]" joinstyle="round"/>
                <v:imagedata o:title=""/>
                <o:lock v:ext="edit" aspectratio="f"/>
                <v:textbox>
                  <w:txbxContent>
                    <w:p>
                      <w:pPr>
                        <w:spacing w:before="250" w:line="181" w:lineRule="auto"/>
                        <w:ind w:left="1179"/>
                        <w:rPr>
                          <w:rFonts w:ascii="微软雅黑" w:hAnsi="微软雅黑" w:eastAsia="微软雅黑" w:cs="微软雅黑"/>
                          <w:sz w:val="52"/>
                          <w:szCs w:val="52"/>
                        </w:rPr>
                      </w:pPr>
                      <w:r>
                        <w:rPr>
                          <w:rFonts w:ascii="微软雅黑" w:hAnsi="微软雅黑" w:eastAsia="微软雅黑" w:cs="微软雅黑"/>
                          <w:spacing w:val="-2"/>
                          <w:sz w:val="52"/>
                          <w:szCs w:val="52"/>
                        </w:rPr>
                        <w:t>第三部分</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r>
                        <w:rPr>
                          <w:rFonts w:hint="eastAsia" w:ascii="微软雅黑" w:hAnsi="微软雅黑" w:eastAsia="微软雅黑" w:cs="微软雅黑"/>
                          <w:spacing w:val="2"/>
                          <w:sz w:val="71"/>
                          <w:szCs w:val="71"/>
                          <w:lang w:val="en-US" w:eastAsia="zh-CN"/>
                        </w:rPr>
                        <w:t>湖北省消防救援总队本级</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pPr>
                      <w:r>
                        <w:rPr>
                          <w:rFonts w:ascii="微软雅黑" w:hAnsi="微软雅黑" w:eastAsia="微软雅黑" w:cs="微软雅黑"/>
                          <w:spacing w:val="-13"/>
                          <w:sz w:val="71"/>
                          <w:szCs w:val="71"/>
                        </w:rPr>
                        <w:t>2024年部门预算情况说明</w:t>
                      </w:r>
                    </w:p>
                  </w:txbxContent>
                </v:textbox>
              </v:shape>
            </w:pict>
          </mc:Fallback>
        </mc:AlternateContent>
      </w:r>
      <w:r>
        <w:rPr>
          <w:position w:val="-71"/>
        </w:rPr>
        <mc:AlternateContent>
          <mc:Choice Requires="wpg">
            <w:drawing>
              <wp:inline distT="0" distB="0" distL="114300" distR="114300">
                <wp:extent cx="6099810" cy="1084580"/>
                <wp:effectExtent l="0" t="0" r="0" b="0"/>
                <wp:docPr id="13" name="组合 15"/>
                <wp:cNvGraphicFramePr/>
                <a:graphic xmlns:a="http://schemas.openxmlformats.org/drawingml/2006/main">
                  <a:graphicData uri="http://schemas.microsoft.com/office/word/2010/wordprocessingGroup">
                    <wpg:wgp>
                      <wpg:cNvGrpSpPr/>
                      <wpg:grpSpPr>
                        <a:xfrm>
                          <a:off x="0" y="0"/>
                          <a:ext cx="6099687" cy="1084883"/>
                          <a:chOff x="2321" y="1318"/>
                          <a:chExt cx="9605" cy="1708"/>
                        </a:xfrm>
                      </wpg:grpSpPr>
                      <wps:wsp>
                        <wps:cNvPr id="11" name="文本框 16"/>
                        <wps:cNvSpPr txBox="1"/>
                        <wps:spPr>
                          <a:xfrm>
                            <a:off x="2321" y="1318"/>
                            <a:ext cx="9605" cy="1708"/>
                          </a:xfrm>
                          <a:prstGeom prst="rect">
                            <a:avLst/>
                          </a:prstGeom>
                          <a:noFill/>
                          <a:ln>
                            <a:noFill/>
                          </a:ln>
                        </wps:spPr>
                        <wps:txbx>
                          <w:txbxContent>
                            <w:p>
                              <w:pPr>
                                <w:spacing w:line="20" w:lineRule="exact"/>
                              </w:pPr>
                            </w:p>
                            <w:p>
                              <w:pPr>
                                <w:rPr>
                                  <w:rFonts w:ascii="Arial"/>
                                  <w:sz w:val="21"/>
                                </w:rPr>
                              </w:pPr>
                            </w:p>
                          </w:txbxContent>
                        </wps:txbx>
                        <wps:bodyPr lIns="0" tIns="0" rIns="0" bIns="0" upright="1"/>
                      </wps:wsp>
                    </wpg:wgp>
                  </a:graphicData>
                </a:graphic>
              </wp:inline>
            </w:drawing>
          </mc:Choice>
          <mc:Fallback>
            <w:pict>
              <v:group id="组合 15" o:spid="_x0000_s1026" o:spt="203" style="height:85.4pt;width:480.3pt;" coordorigin="2321,1318" coordsize="9605,1708" o:gfxdata="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NTa4NUAAAAFAQAADwAAAAAAAAABACAAAAAiAAAAZHJzL2Rvd25yZXYueG1sUEsBAhQAFAAAAAgA&#10;h07iQDYAB8AoAgAAqAQAAA4AAAAAAAAAAQAgAAAAJAEAAGRycy9lMm9Eb2MueG1sUEsFBgAAAAAG&#10;AAYAWQEAAL4FAAAAAA==&#10;">
                <o:lock v:ext="edit" aspectratio="f"/>
                <v:shape id="文本框 16" o:spid="_x0000_s1026" o:spt="202" type="#_x0000_t202" style="position:absolute;left:2321;top:1318;height:1708;width:960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0" w:lineRule="exact"/>
                        </w:pPr>
                      </w:p>
                      <w:p>
                        <w:pPr>
                          <w:rPr>
                            <w:rFonts w:ascii="Arial"/>
                            <w:sz w:val="21"/>
                          </w:rPr>
                        </w:pPr>
                      </w:p>
                    </w:txbxContent>
                  </v:textbox>
                </v:shape>
                <w10:wrap type="none"/>
                <w10:anchorlock/>
              </v:group>
            </w:pict>
          </mc:Fallback>
        </mc:AlternateContent>
      </w:r>
    </w:p>
    <w:p>
      <w:pPr>
        <w:spacing w:line="3584" w:lineRule="exact"/>
        <w:sectPr>
          <w:footerReference r:id="rId18" w:type="default"/>
          <w:pgSz w:w="11907" w:h="16840"/>
          <w:pgMar w:top="2098" w:right="1531" w:bottom="1984" w:left="1531" w:header="0" w:footer="646"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50" w:line="20" w:lineRule="atLeast"/>
        <w:textAlignment w:val="baseline"/>
        <w:rPr>
          <w:rFonts w:hint="default" w:ascii="Times New Roman" w:hAnsi="Times New Roman" w:eastAsia="微软雅黑" w:cs="Times New Roman"/>
          <w:sz w:val="35"/>
          <w:szCs w:val="35"/>
        </w:rPr>
      </w:pPr>
      <w:r>
        <w:rPr>
          <w:rFonts w:hint="default" w:ascii="Times New Roman" w:hAnsi="Times New Roman" w:eastAsia="微软雅黑" w:cs="Times New Roman"/>
          <w:spacing w:val="6"/>
          <w:sz w:val="35"/>
          <w:szCs w:val="35"/>
          <w:lang w:val="en-US" w:eastAsia="zh-CN"/>
        </w:rPr>
        <w:t>湖北省消防救援总队</w:t>
      </w:r>
      <w:r>
        <w:rPr>
          <w:rFonts w:hint="eastAsia" w:ascii="Times New Roman" w:hAnsi="Times New Roman" w:eastAsia="微软雅黑" w:cs="Times New Roman"/>
          <w:spacing w:val="6"/>
          <w:sz w:val="35"/>
          <w:szCs w:val="35"/>
          <w:lang w:val="en-US" w:eastAsia="zh-CN"/>
        </w:rPr>
        <w:t xml:space="preserve">本级 </w:t>
      </w:r>
      <w:r>
        <w:rPr>
          <w:rFonts w:hint="default" w:ascii="Times New Roman" w:hAnsi="Times New Roman" w:eastAsia="Times New Roman" w:cs="Times New Roman"/>
          <w:spacing w:val="6"/>
          <w:sz w:val="35"/>
          <w:szCs w:val="35"/>
        </w:rPr>
        <w:t>2024</w:t>
      </w:r>
      <w:r>
        <w:rPr>
          <w:rFonts w:hint="eastAsia" w:ascii="Times New Roman" w:hAnsi="Times New Roman" w:eastAsia="宋体" w:cs="Times New Roman"/>
          <w:spacing w:val="6"/>
          <w:sz w:val="35"/>
          <w:szCs w:val="35"/>
          <w:lang w:val="en-US" w:eastAsia="zh-CN"/>
        </w:rPr>
        <w:t xml:space="preserve"> </w:t>
      </w:r>
      <w:r>
        <w:rPr>
          <w:rFonts w:hint="default" w:ascii="Times New Roman" w:hAnsi="Times New Roman" w:eastAsia="微软雅黑" w:cs="Times New Roman"/>
          <w:spacing w:val="6"/>
          <w:sz w:val="35"/>
          <w:szCs w:val="35"/>
        </w:rPr>
        <w:t xml:space="preserve">年部门预算 </w:t>
      </w:r>
      <w:r>
        <w:rPr>
          <w:rFonts w:hint="default" w:ascii="Times New Roman" w:hAnsi="Times New Roman" w:cs="Times New Roman"/>
          <w:position w:val="1"/>
          <w:sz w:val="35"/>
          <w:szCs w:val="35"/>
        </w:rPr>
        <w:drawing>
          <wp:inline distT="0" distB="0" distL="0" distR="0">
            <wp:extent cx="187960" cy="1993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6"/>
                    <a:stretch>
                      <a:fillRect/>
                    </a:stretch>
                  </pic:blipFill>
                  <pic:spPr>
                    <a:xfrm>
                      <a:off x="0" y="0"/>
                      <a:ext cx="188468" cy="199390"/>
                    </a:xfrm>
                    <a:prstGeom prst="rect">
                      <a:avLst/>
                    </a:prstGeom>
                  </pic:spPr>
                </pic:pic>
              </a:graphicData>
            </a:graphic>
          </wp:inline>
        </w:drawing>
      </w:r>
      <w:r>
        <w:rPr>
          <w:rFonts w:hint="default" w:ascii="Times New Roman" w:hAnsi="Times New Roman" w:eastAsia="微软雅黑" w:cs="Times New Roman"/>
          <w:spacing w:val="39"/>
          <w:sz w:val="35"/>
          <w:szCs w:val="35"/>
        </w:rPr>
        <w:t xml:space="preserve"> </w:t>
      </w:r>
      <w:r>
        <w:rPr>
          <w:rFonts w:hint="default" w:ascii="Times New Roman" w:hAnsi="Times New Roman" w:eastAsia="微软雅黑" w:cs="Times New Roman"/>
          <w:spacing w:val="6"/>
          <w:sz w:val="35"/>
          <w:szCs w:val="35"/>
        </w:rPr>
        <w:t>情况说明</w:t>
      </w:r>
    </w:p>
    <w:p>
      <w:pPr>
        <w:keepNext w:val="0"/>
        <w:keepLines w:val="0"/>
        <w:pageBreakBefore w:val="0"/>
        <w:widowControl/>
        <w:kinsoku w:val="0"/>
        <w:wordWrap/>
        <w:overflowPunct/>
        <w:topLinePunct w:val="0"/>
        <w:autoSpaceDE w:val="0"/>
        <w:autoSpaceDN w:val="0"/>
        <w:bidi w:val="0"/>
        <w:adjustRightInd w:val="0"/>
        <w:snapToGrid w:val="0"/>
        <w:spacing w:before="100" w:line="20" w:lineRule="atLeast"/>
        <w:textAlignment w:val="baseline"/>
        <w:rPr>
          <w:rFonts w:hint="default" w:ascii="Times New Roman" w:hAnsi="Times New Roman" w:eastAsia="黑体" w:cs="Times New Roman"/>
          <w:spacing w:val="8"/>
          <w:position w:val="1"/>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52" w:firstLineChars="200"/>
        <w:textAlignment w:val="baseline"/>
        <w:rPr>
          <w:rFonts w:hint="default" w:ascii="Times New Roman" w:hAnsi="Times New Roman" w:eastAsia="黑体" w:cs="Times New Roman"/>
          <w:spacing w:val="8"/>
          <w:position w:val="1"/>
          <w:sz w:val="31"/>
          <w:szCs w:val="31"/>
        </w:rPr>
      </w:pPr>
      <w:r>
        <w:rPr>
          <w:rFonts w:hint="default" w:ascii="Times New Roman" w:hAnsi="Times New Roman" w:eastAsia="黑体" w:cs="Times New Roman"/>
          <w:spacing w:val="8"/>
          <w:position w:val="1"/>
          <w:sz w:val="31"/>
          <w:szCs w:val="31"/>
        </w:rPr>
        <w:t>一、部门收支总体情况说明</w:t>
      </w:r>
    </w:p>
    <w:p>
      <w:pPr>
        <w:keepNext w:val="0"/>
        <w:keepLines w:val="0"/>
        <w:pageBreakBefore w:val="0"/>
        <w:widowControl/>
        <w:kinsoku w:val="0"/>
        <w:wordWrap/>
        <w:overflowPunct/>
        <w:topLinePunct w:val="0"/>
        <w:autoSpaceDE w:val="0"/>
        <w:autoSpaceDN w:val="0"/>
        <w:bidi w:val="0"/>
        <w:adjustRightInd/>
        <w:snapToGrid/>
        <w:spacing w:before="100" w:line="560" w:lineRule="exact"/>
        <w:ind w:firstLine="640" w:firstLineChars="200"/>
        <w:jc w:val="both"/>
        <w:textAlignment w:val="baseline"/>
        <w:rPr>
          <w:rFonts w:hint="default" w:ascii="Times New Roman" w:hAnsi="Times New Roman" w:eastAsia="仿宋_GB2312" w:cs="Times New Roman"/>
          <w:sz w:val="31"/>
          <w:szCs w:val="31"/>
        </w:rPr>
      </w:pPr>
      <w:r>
        <w:rPr>
          <w:rFonts w:hint="default" w:ascii="Times New Roman" w:hAnsi="Times New Roman" w:eastAsia="仿宋_GB2312" w:cs="Times New Roman"/>
          <w:spacing w:val="5"/>
          <w:sz w:val="31"/>
          <w:szCs w:val="31"/>
        </w:rPr>
        <w:t>按照综合预算的原则，</w:t>
      </w:r>
      <w:r>
        <w:rPr>
          <w:rFonts w:hint="default" w:ascii="Times New Roman" w:hAnsi="Times New Roman" w:eastAsia="仿宋_GB2312" w:cs="Times New Roman"/>
          <w:spacing w:val="5"/>
          <w:sz w:val="31"/>
          <w:szCs w:val="31"/>
          <w:lang w:val="en-US" w:eastAsia="zh-CN"/>
        </w:rPr>
        <w:t>湖北消防救援总队</w:t>
      </w:r>
      <w:r>
        <w:rPr>
          <w:rFonts w:hint="eastAsia" w:ascii="Times New Roman" w:hAnsi="Times New Roman" w:eastAsia="仿宋_GB2312" w:cs="Times New Roman"/>
          <w:spacing w:val="5"/>
          <w:sz w:val="31"/>
          <w:szCs w:val="31"/>
          <w:lang w:val="en-US" w:eastAsia="zh-CN"/>
        </w:rPr>
        <w:t>本级</w:t>
      </w:r>
      <w:r>
        <w:rPr>
          <w:rFonts w:hint="default" w:ascii="Times New Roman" w:hAnsi="Times New Roman" w:eastAsia="仿宋_GB2312" w:cs="Times New Roman"/>
          <w:spacing w:val="5"/>
          <w:sz w:val="31"/>
          <w:szCs w:val="31"/>
        </w:rPr>
        <w:t>所有收入和支出</w:t>
      </w:r>
      <w:r>
        <w:rPr>
          <w:rFonts w:hint="default" w:ascii="Times New Roman" w:hAnsi="Times New Roman" w:eastAsia="仿宋_GB2312" w:cs="Times New Roman"/>
          <w:spacing w:val="4"/>
          <w:sz w:val="31"/>
          <w:szCs w:val="31"/>
        </w:rPr>
        <w:t>均纳</w:t>
      </w:r>
      <w:r>
        <w:rPr>
          <w:rFonts w:hint="default" w:ascii="Times New Roman" w:hAnsi="Times New Roman" w:eastAsia="仿宋_GB2312" w:cs="Times New Roman"/>
          <w:spacing w:val="-1"/>
          <w:sz w:val="31"/>
          <w:szCs w:val="31"/>
        </w:rPr>
        <w:t>入部门预算管理</w:t>
      </w:r>
      <w:r>
        <w:rPr>
          <w:rFonts w:hint="default" w:ascii="Times New Roman" w:hAnsi="Times New Roman" w:eastAsia="仿宋_GB2312" w:cs="Times New Roman"/>
          <w:spacing w:val="-1"/>
          <w:sz w:val="31"/>
          <w:szCs w:val="31"/>
          <w:lang w:eastAsia="zh-CN"/>
        </w:rPr>
        <w:t>。</w:t>
      </w:r>
      <w:r>
        <w:rPr>
          <w:rFonts w:hint="default" w:ascii="Times New Roman" w:hAnsi="Times New Roman" w:eastAsia="仿宋_GB2312" w:cs="Times New Roman"/>
          <w:spacing w:val="-1"/>
          <w:sz w:val="31"/>
          <w:szCs w:val="31"/>
        </w:rPr>
        <w:t>收入包括：一般公共预算拨款收入、</w:t>
      </w:r>
      <w:r>
        <w:rPr>
          <w:rFonts w:hint="default" w:ascii="Times New Roman" w:hAnsi="Times New Roman" w:eastAsia="仿宋_GB2312" w:cs="Times New Roman"/>
          <w:spacing w:val="4"/>
          <w:sz w:val="31"/>
          <w:szCs w:val="31"/>
        </w:rPr>
        <w:t>其他收入、上年结转</w:t>
      </w:r>
      <w:r>
        <w:rPr>
          <w:rFonts w:hint="default" w:ascii="Times New Roman" w:hAnsi="Times New Roman" w:eastAsia="仿宋_GB2312" w:cs="Times New Roman"/>
          <w:spacing w:val="4"/>
          <w:sz w:val="31"/>
          <w:szCs w:val="31"/>
          <w:lang w:eastAsia="zh-CN"/>
        </w:rPr>
        <w:t>；</w:t>
      </w:r>
      <w:r>
        <w:rPr>
          <w:rFonts w:hint="default" w:ascii="Times New Roman" w:hAnsi="Times New Roman" w:eastAsia="仿宋_GB2312" w:cs="Times New Roman"/>
          <w:spacing w:val="4"/>
          <w:sz w:val="31"/>
          <w:szCs w:val="31"/>
        </w:rPr>
        <w:t>支出包括：社会保障和就业支出、卫生健康支出、住房保障支出</w:t>
      </w:r>
      <w:r>
        <w:rPr>
          <w:rFonts w:hint="default" w:ascii="Times New Roman" w:hAnsi="Times New Roman" w:eastAsia="仿宋_GB2312" w:cs="Times New Roman"/>
          <w:spacing w:val="4"/>
          <w:sz w:val="31"/>
          <w:szCs w:val="31"/>
          <w:lang w:eastAsia="zh-CN"/>
        </w:rPr>
        <w:t>、</w:t>
      </w:r>
      <w:r>
        <w:rPr>
          <w:rFonts w:hint="default" w:ascii="Times New Roman" w:hAnsi="Times New Roman" w:eastAsia="仿宋_GB2312" w:cs="Times New Roman"/>
          <w:spacing w:val="4"/>
          <w:sz w:val="31"/>
          <w:szCs w:val="31"/>
        </w:rPr>
        <w:t>灾害防治及应急管理支出。2024年度收支总预算</w:t>
      </w:r>
      <w:r>
        <w:rPr>
          <w:rFonts w:hint="default" w:ascii="Times New Roman" w:hAnsi="Times New Roman" w:eastAsia="仿宋_GB2312" w:cs="Times New Roman"/>
          <w:spacing w:val="4"/>
          <w:sz w:val="31"/>
          <w:szCs w:val="31"/>
          <w:lang w:val="en-US" w:eastAsia="zh-CN"/>
        </w:rPr>
        <w:t>43957.35</w:t>
      </w:r>
      <w:r>
        <w:rPr>
          <w:rFonts w:hint="default" w:ascii="Times New Roman" w:hAnsi="Times New Roman" w:eastAsia="仿宋_GB2312" w:cs="Times New Roman"/>
          <w:spacing w:val="4"/>
          <w:sz w:val="31"/>
          <w:szCs w:val="31"/>
        </w:rPr>
        <w:t>万元。</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52" w:firstLineChars="200"/>
        <w:textAlignment w:val="baseline"/>
        <w:rPr>
          <w:rFonts w:hint="default" w:ascii="Times New Roman" w:hAnsi="Times New Roman" w:eastAsia="仿宋_GB2312" w:cs="Times New Roman"/>
          <w:spacing w:val="8"/>
          <w:position w:val="1"/>
          <w:sz w:val="31"/>
          <w:szCs w:val="31"/>
        </w:rPr>
      </w:pPr>
      <w:r>
        <w:rPr>
          <w:rFonts w:hint="default" w:ascii="Times New Roman" w:hAnsi="Times New Roman" w:eastAsia="黑体" w:cs="Times New Roman"/>
          <w:spacing w:val="8"/>
          <w:position w:val="1"/>
          <w:sz w:val="31"/>
          <w:szCs w:val="31"/>
        </w:rPr>
        <w:t>二、部门收入情况说明</w:t>
      </w:r>
    </w:p>
    <w:p>
      <w:pPr>
        <w:keepNext w:val="0"/>
        <w:keepLines/>
        <w:pageBreakBefore w:val="0"/>
        <w:widowControl w:val="0"/>
        <w:kinsoku/>
        <w:wordWrap/>
        <w:overflowPunct/>
        <w:topLinePunct w:val="0"/>
        <w:autoSpaceDE/>
        <w:autoSpaceDN/>
        <w:bidi w:val="0"/>
        <w:adjustRightInd w:val="0"/>
        <w:snapToGrid w:val="0"/>
        <w:spacing w:before="100" w:line="560" w:lineRule="exact"/>
        <w:ind w:firstLine="652" w:firstLineChars="200"/>
        <w:jc w:val="both"/>
        <w:textAlignment w:val="baseline"/>
        <w:rPr>
          <w:rFonts w:hint="eastAsia" w:ascii="Times New Roman" w:hAnsi="Times New Roman" w:eastAsia="仿宋_GB2312" w:cs="Times New Roman"/>
          <w:spacing w:val="4"/>
          <w:sz w:val="31"/>
          <w:szCs w:val="31"/>
          <w:lang w:val="en-US" w:eastAsia="zh-CN"/>
        </w:rPr>
      </w:pPr>
      <w:r>
        <w:rPr>
          <w:rFonts w:hint="default" w:ascii="Times New Roman" w:hAnsi="Times New Roman" w:eastAsia="仿宋_GB2312" w:cs="Times New Roman"/>
          <w:spacing w:val="8"/>
          <w:position w:val="1"/>
          <w:sz w:val="31"/>
          <w:szCs w:val="31"/>
          <w:lang w:val="en-US" w:eastAsia="zh-CN"/>
        </w:rPr>
        <w:t>湖北省消防救援总队</w:t>
      </w:r>
      <w:r>
        <w:rPr>
          <w:rFonts w:hint="default" w:ascii="Times New Roman" w:hAnsi="Times New Roman" w:eastAsia="仿宋_GB2312" w:cs="Times New Roman"/>
          <w:spacing w:val="8"/>
          <w:position w:val="1"/>
          <w:sz w:val="31"/>
          <w:szCs w:val="31"/>
        </w:rPr>
        <w:t>2024年度收入预算</w:t>
      </w:r>
      <w:r>
        <w:rPr>
          <w:rFonts w:hint="default" w:ascii="Times New Roman" w:hAnsi="Times New Roman" w:eastAsia="仿宋_GB2312" w:cs="Times New Roman"/>
          <w:spacing w:val="4"/>
          <w:sz w:val="31"/>
          <w:szCs w:val="31"/>
          <w:lang w:val="en-US" w:eastAsia="zh-CN"/>
        </w:rPr>
        <w:t>43957.35</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rPr>
        <w:t>其</w:t>
      </w:r>
      <w:r>
        <w:rPr>
          <w:rFonts w:hint="default" w:ascii="Times New Roman" w:hAnsi="Times New Roman" w:eastAsia="仿宋_GB2312" w:cs="Times New Roman"/>
          <w:spacing w:val="5"/>
          <w:sz w:val="31"/>
          <w:szCs w:val="31"/>
          <w:lang w:val="en-US" w:eastAsia="zh-CN"/>
        </w:rPr>
        <w:t>中</w:t>
      </w:r>
      <w:r>
        <w:rPr>
          <w:rFonts w:hint="default" w:ascii="Times New Roman" w:hAnsi="Times New Roman" w:eastAsia="仿宋_GB2312" w:cs="Times New Roman"/>
          <w:spacing w:val="5"/>
          <w:sz w:val="31"/>
          <w:szCs w:val="31"/>
        </w:rPr>
        <w:t>：上年结转</w:t>
      </w:r>
      <w:r>
        <w:rPr>
          <w:rFonts w:hint="default" w:ascii="Times New Roman" w:hAnsi="Times New Roman" w:eastAsia="仿宋_GB2312" w:cs="Times New Roman"/>
          <w:spacing w:val="4"/>
          <w:sz w:val="31"/>
          <w:szCs w:val="31"/>
          <w:lang w:val="en-US" w:eastAsia="zh-CN"/>
        </w:rPr>
        <w:t>18705.34</w:t>
      </w:r>
      <w:r>
        <w:rPr>
          <w:rFonts w:hint="default" w:ascii="Times New Roman" w:hAnsi="Times New Roman" w:eastAsia="仿宋_GB2312" w:cs="Times New Roman"/>
          <w:spacing w:val="5"/>
          <w:sz w:val="31"/>
          <w:szCs w:val="31"/>
        </w:rPr>
        <w:t>万元</w:t>
      </w:r>
      <w:r>
        <w:rPr>
          <w:rFonts w:hint="eastAsia"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rPr>
        <w:t>占</w:t>
      </w:r>
      <w:r>
        <w:rPr>
          <w:rFonts w:hint="eastAsia" w:ascii="Times New Roman" w:hAnsi="Times New Roman" w:eastAsia="仿宋_GB2312" w:cs="Times New Roman"/>
          <w:spacing w:val="4"/>
          <w:sz w:val="31"/>
          <w:szCs w:val="31"/>
          <w:lang w:val="en-US" w:eastAsia="zh-CN"/>
        </w:rPr>
        <w:t>42.55</w:t>
      </w:r>
      <w:r>
        <w:rPr>
          <w:rFonts w:hint="default" w:ascii="Times New Roman" w:hAnsi="Times New Roman" w:eastAsia="仿宋_GB2312" w:cs="Times New Roman"/>
          <w:spacing w:val="5"/>
          <w:sz w:val="31"/>
          <w:szCs w:val="31"/>
        </w:rPr>
        <w:t>%；一般公共预算拨款收入</w:t>
      </w:r>
      <w:r>
        <w:rPr>
          <w:rFonts w:hint="default" w:ascii="Times New Roman" w:hAnsi="Times New Roman" w:eastAsia="仿宋_GB2312" w:cs="Times New Roman"/>
          <w:spacing w:val="4"/>
          <w:sz w:val="31"/>
          <w:szCs w:val="31"/>
          <w:lang w:val="en-US" w:eastAsia="zh-CN"/>
        </w:rPr>
        <w:t>3566.56</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rPr>
        <w:t>占</w:t>
      </w:r>
      <w:r>
        <w:rPr>
          <w:rFonts w:hint="eastAsia" w:ascii="Times New Roman" w:hAnsi="Times New Roman" w:eastAsia="仿宋_GB2312" w:cs="Times New Roman"/>
          <w:spacing w:val="4"/>
          <w:sz w:val="31"/>
          <w:szCs w:val="31"/>
          <w:lang w:val="en-US" w:eastAsia="zh-CN"/>
        </w:rPr>
        <w:t>8.12</w:t>
      </w:r>
      <w:r>
        <w:rPr>
          <w:rFonts w:hint="default" w:ascii="Times New Roman" w:hAnsi="Times New Roman" w:eastAsia="仿宋_GB2312" w:cs="Times New Roman"/>
          <w:spacing w:val="4"/>
          <w:sz w:val="31"/>
          <w:szCs w:val="31"/>
          <w:lang w:val="en-US" w:eastAsia="zh-CN"/>
        </w:rPr>
        <w:t>%；</w:t>
      </w:r>
      <w:r>
        <w:rPr>
          <w:rFonts w:hint="default" w:ascii="Times New Roman" w:hAnsi="Times New Roman" w:eastAsia="仿宋_GB2312" w:cs="Times New Roman"/>
          <w:spacing w:val="5"/>
          <w:sz w:val="31"/>
          <w:szCs w:val="31"/>
        </w:rPr>
        <w:t>其他收入</w:t>
      </w:r>
      <w:r>
        <w:rPr>
          <w:rFonts w:hint="default" w:ascii="Times New Roman" w:hAnsi="Times New Roman" w:eastAsia="仿宋_GB2312" w:cs="Times New Roman"/>
          <w:spacing w:val="4"/>
          <w:sz w:val="31"/>
          <w:szCs w:val="31"/>
          <w:lang w:val="en-US" w:eastAsia="zh-CN"/>
        </w:rPr>
        <w:t>21685.45</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lang w:val="en-US" w:eastAsia="zh-CN"/>
        </w:rPr>
        <w:t>占</w:t>
      </w:r>
      <w:r>
        <w:rPr>
          <w:rFonts w:hint="eastAsia" w:ascii="Times New Roman" w:hAnsi="Times New Roman" w:eastAsia="仿宋_GB2312" w:cs="Times New Roman"/>
          <w:spacing w:val="4"/>
          <w:sz w:val="31"/>
          <w:szCs w:val="31"/>
          <w:lang w:val="en-US" w:eastAsia="zh-CN"/>
        </w:rPr>
        <w:t>49.33</w:t>
      </w:r>
      <w:r>
        <w:rPr>
          <w:rFonts w:hint="default" w:ascii="Times New Roman" w:hAnsi="Times New Roman" w:eastAsia="仿宋_GB2312" w:cs="Times New Roman"/>
          <w:spacing w:val="4"/>
          <w:sz w:val="31"/>
          <w:szCs w:val="31"/>
          <w:lang w:val="en-US" w:eastAsia="zh-CN"/>
        </w:rPr>
        <w:t>%</w:t>
      </w:r>
      <w:r>
        <w:rPr>
          <w:rFonts w:hint="eastAsia" w:ascii="Times New Roman" w:hAnsi="Times New Roman" w:eastAsia="仿宋_GB2312" w:cs="Times New Roman"/>
          <w:spacing w:val="4"/>
          <w:sz w:val="31"/>
          <w:szCs w:val="31"/>
          <w:lang w:val="en-US" w:eastAsia="zh-CN"/>
        </w:rPr>
        <w:t>。</w:t>
      </w:r>
    </w:p>
    <w:p>
      <w:pPr>
        <w:keepNext w:val="0"/>
        <w:keepLines/>
        <w:pageBreakBefore w:val="0"/>
        <w:widowControl w:val="0"/>
        <w:kinsoku/>
        <w:wordWrap/>
        <w:overflowPunct/>
        <w:topLinePunct w:val="0"/>
        <w:autoSpaceDE/>
        <w:autoSpaceDN/>
        <w:bidi w:val="0"/>
        <w:adjustRightInd w:val="0"/>
        <w:snapToGrid w:val="0"/>
        <w:spacing w:before="100" w:line="360" w:lineRule="auto"/>
        <w:ind w:firstLine="612" w:firstLineChars="200"/>
        <w:jc w:val="both"/>
        <w:textAlignment w:val="baseline"/>
        <w:rPr>
          <w:rFonts w:hint="eastAsia" w:ascii="Times New Roman" w:hAnsi="Times New Roman" w:eastAsia="仿宋_GB2312" w:cs="Times New Roman"/>
          <w:spacing w:val="4"/>
          <w:sz w:val="31"/>
          <w:szCs w:val="31"/>
          <w:lang w:val="en-US" w:eastAsia="zh-CN"/>
        </w:rPr>
      </w:pPr>
      <w:r>
        <w:rPr>
          <w:rFonts w:hint="default" w:ascii="Times New Roman" w:hAnsi="Times New Roman" w:eastAsia="微软雅黑" w:cs="Times New Roman"/>
          <w:spacing w:val="-2"/>
          <w:sz w:val="31"/>
          <w:szCs w:val="31"/>
          <w:lang w:eastAsia="zh-CN"/>
        </w:rPr>
        <w:drawing>
          <wp:inline distT="0" distB="0" distL="114300" distR="114300">
            <wp:extent cx="4935220" cy="2439035"/>
            <wp:effectExtent l="4445" t="4445" r="5715" b="15240"/>
            <wp:docPr id="12" name="图表 12" descr="7b0a202020202263686172745265734964223a202232303437343735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firstLine="648" w:firstLineChars="200"/>
        <w:textAlignment w:val="baseline"/>
        <w:rPr>
          <w:rFonts w:hint="default" w:ascii="Times New Roman" w:hAnsi="Times New Roman" w:eastAsia="黑体" w:cs="Times New Roman"/>
          <w:spacing w:val="7"/>
          <w:position w:val="1"/>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三、部门支出情况说明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32" w:firstLineChars="200"/>
        <w:jc w:val="both"/>
        <w:textAlignment w:val="baseline"/>
        <w:rPr>
          <w:rFonts w:hint="default" w:ascii="Times New Roman" w:hAnsi="Times New Roman" w:eastAsia="仿宋_GB2312" w:cs="Times New Roman"/>
          <w:spacing w:val="-5"/>
          <w:sz w:val="31"/>
          <w:szCs w:val="31"/>
        </w:rPr>
      </w:pPr>
      <w:r>
        <w:rPr>
          <w:rFonts w:hint="default" w:ascii="Times New Roman" w:hAnsi="Times New Roman" w:eastAsia="仿宋_GB2312" w:cs="Times New Roman"/>
          <w:spacing w:val="3"/>
          <w:sz w:val="31"/>
          <w:szCs w:val="31"/>
          <w:lang w:val="en-US" w:eastAsia="zh-CN"/>
        </w:rPr>
        <w:t>湖北省消防救援总队</w:t>
      </w:r>
      <w:r>
        <w:rPr>
          <w:rFonts w:hint="default" w:ascii="Times New Roman" w:hAnsi="Times New Roman" w:eastAsia="仿宋_GB2312" w:cs="Times New Roman"/>
          <w:spacing w:val="3"/>
          <w:sz w:val="31"/>
          <w:szCs w:val="31"/>
        </w:rPr>
        <w:t>2024年度支出预算</w:t>
      </w:r>
      <w:r>
        <w:rPr>
          <w:rFonts w:hint="default" w:ascii="Times New Roman" w:hAnsi="Times New Roman" w:eastAsia="仿宋_GB2312" w:cs="Times New Roman"/>
          <w:spacing w:val="4"/>
          <w:sz w:val="31"/>
          <w:szCs w:val="31"/>
          <w:lang w:val="en-US" w:eastAsia="zh-CN"/>
        </w:rPr>
        <w:t>43957.35</w:t>
      </w:r>
      <w:r>
        <w:rPr>
          <w:rFonts w:hint="default" w:ascii="Times New Roman" w:hAnsi="Times New Roman" w:eastAsia="仿宋_GB2312" w:cs="Times New Roman"/>
          <w:spacing w:val="2"/>
          <w:sz w:val="31"/>
          <w:szCs w:val="31"/>
        </w:rPr>
        <w:t>万元</w:t>
      </w:r>
      <w:r>
        <w:rPr>
          <w:rFonts w:hint="default" w:ascii="Times New Roman" w:hAnsi="Times New Roman" w:eastAsia="仿宋_GB2312" w:cs="Times New Roman"/>
          <w:spacing w:val="2"/>
          <w:sz w:val="31"/>
          <w:szCs w:val="31"/>
          <w:lang w:eastAsia="zh-CN"/>
        </w:rPr>
        <w:t>，</w:t>
      </w:r>
      <w:r>
        <w:rPr>
          <w:rFonts w:hint="default" w:ascii="Times New Roman" w:hAnsi="Times New Roman" w:eastAsia="仿宋_GB2312" w:cs="Times New Roman"/>
          <w:spacing w:val="2"/>
          <w:sz w:val="31"/>
          <w:szCs w:val="31"/>
        </w:rPr>
        <w:t>其</w:t>
      </w:r>
      <w:r>
        <w:rPr>
          <w:rFonts w:hint="default" w:ascii="Times New Roman" w:hAnsi="Times New Roman" w:eastAsia="仿宋_GB2312" w:cs="Times New Roman"/>
          <w:spacing w:val="-12"/>
          <w:sz w:val="31"/>
          <w:szCs w:val="31"/>
        </w:rPr>
        <w:t>中：基本支出</w:t>
      </w:r>
      <w:r>
        <w:rPr>
          <w:rFonts w:hint="eastAsia" w:ascii="Times New Roman" w:hAnsi="Times New Roman" w:eastAsia="方正仿宋_GBK" w:cs="Times New Roman"/>
          <w:b w:val="0"/>
          <w:bCs w:val="0"/>
          <w:sz w:val="32"/>
          <w:szCs w:val="32"/>
          <w:lang w:val="en-US" w:eastAsia="zh-CN"/>
        </w:rPr>
        <w:t>14461.13</w:t>
      </w:r>
      <w:r>
        <w:rPr>
          <w:rFonts w:hint="default" w:ascii="Times New Roman" w:hAnsi="Times New Roman" w:eastAsia="仿宋_GB2312" w:cs="Times New Roman"/>
          <w:spacing w:val="-12"/>
          <w:sz w:val="31"/>
          <w:szCs w:val="31"/>
        </w:rPr>
        <w:t>万元</w:t>
      </w:r>
      <w:r>
        <w:rPr>
          <w:rFonts w:hint="default" w:ascii="Times New Roman" w:hAnsi="Times New Roman" w:eastAsia="仿宋_GB2312" w:cs="Times New Roman"/>
          <w:spacing w:val="-12"/>
          <w:sz w:val="31"/>
          <w:szCs w:val="31"/>
          <w:lang w:eastAsia="zh-CN"/>
        </w:rPr>
        <w:t>，</w:t>
      </w:r>
      <w:r>
        <w:rPr>
          <w:rFonts w:hint="default" w:ascii="Times New Roman" w:hAnsi="Times New Roman" w:eastAsia="仿宋_GB2312" w:cs="Times New Roman"/>
          <w:spacing w:val="-12"/>
          <w:sz w:val="31"/>
          <w:szCs w:val="31"/>
        </w:rPr>
        <w:t>占</w:t>
      </w:r>
      <w:r>
        <w:rPr>
          <w:rFonts w:hint="eastAsia" w:ascii="Times New Roman" w:hAnsi="Times New Roman" w:eastAsia="仿宋_GB2312" w:cs="Times New Roman"/>
          <w:spacing w:val="-12"/>
          <w:sz w:val="31"/>
          <w:szCs w:val="31"/>
          <w:lang w:val="en-US" w:eastAsia="zh-CN"/>
        </w:rPr>
        <w:t>32.90</w:t>
      </w:r>
      <w:r>
        <w:rPr>
          <w:rFonts w:hint="default" w:ascii="Times New Roman" w:hAnsi="Times New Roman" w:eastAsia="仿宋_GB2312" w:cs="Times New Roman"/>
          <w:spacing w:val="-12"/>
          <w:sz w:val="31"/>
          <w:szCs w:val="31"/>
        </w:rPr>
        <w:t>%</w:t>
      </w:r>
      <w:r>
        <w:rPr>
          <w:rFonts w:hint="default" w:ascii="Times New Roman" w:hAnsi="Times New Roman" w:eastAsia="仿宋_GB2312" w:cs="Times New Roman"/>
          <w:spacing w:val="-12"/>
          <w:sz w:val="31"/>
          <w:szCs w:val="31"/>
          <w:lang w:eastAsia="zh-CN"/>
        </w:rPr>
        <w:t>；</w:t>
      </w:r>
      <w:r>
        <w:rPr>
          <w:rFonts w:hint="default" w:ascii="Times New Roman" w:hAnsi="Times New Roman" w:eastAsia="仿宋_GB2312" w:cs="Times New Roman"/>
          <w:spacing w:val="-12"/>
          <w:sz w:val="31"/>
          <w:szCs w:val="31"/>
        </w:rPr>
        <w:t>项目支出</w:t>
      </w:r>
      <w:r>
        <w:rPr>
          <w:rFonts w:hint="eastAsia" w:ascii="Times New Roman" w:hAnsi="Times New Roman" w:eastAsia="方正仿宋_GBK" w:cs="Times New Roman"/>
          <w:b w:val="0"/>
          <w:bCs w:val="0"/>
          <w:sz w:val="32"/>
          <w:szCs w:val="32"/>
          <w:lang w:val="en-US" w:eastAsia="zh-CN"/>
        </w:rPr>
        <w:t>29496.22</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35"/>
          <w:sz w:val="31"/>
          <w:szCs w:val="31"/>
          <w:lang w:eastAsia="zh-CN"/>
        </w:rPr>
        <w:t>，</w:t>
      </w:r>
      <w:r>
        <w:rPr>
          <w:rFonts w:hint="default" w:ascii="Times New Roman" w:hAnsi="Times New Roman" w:eastAsia="仿宋_GB2312" w:cs="Times New Roman"/>
          <w:spacing w:val="-5"/>
          <w:sz w:val="31"/>
          <w:szCs w:val="31"/>
        </w:rPr>
        <w:t>占</w:t>
      </w:r>
      <w:r>
        <w:rPr>
          <w:rFonts w:hint="eastAsia" w:ascii="Times New Roman" w:hAnsi="Times New Roman" w:eastAsia="仿宋_GB2312" w:cs="Times New Roman"/>
          <w:spacing w:val="-5"/>
          <w:sz w:val="31"/>
          <w:szCs w:val="31"/>
          <w:lang w:val="en-US" w:eastAsia="zh-CN"/>
        </w:rPr>
        <w:t>67.10</w:t>
      </w:r>
      <w:r>
        <w:rPr>
          <w:rFonts w:hint="default" w:ascii="Times New Roman" w:hAnsi="Times New Roman" w:eastAsia="仿宋_GB2312" w:cs="Times New Roman"/>
          <w:spacing w:val="-5"/>
          <w:sz w:val="31"/>
          <w:szCs w:val="31"/>
        </w:rPr>
        <w:t>%。</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firstLine="600" w:firstLineChars="200"/>
        <w:jc w:val="both"/>
        <w:textAlignment w:val="baseline"/>
        <w:rPr>
          <w:rFonts w:hint="default" w:ascii="Times New Roman" w:hAnsi="Times New Roman" w:eastAsia="微软雅黑" w:cs="Times New Roman"/>
          <w:spacing w:val="-5"/>
          <w:sz w:val="31"/>
          <w:szCs w:val="31"/>
          <w:lang w:eastAsia="zh-CN"/>
        </w:rPr>
      </w:pPr>
    </w:p>
    <w:p>
      <w:pPr>
        <w:spacing w:before="1" w:line="202" w:lineRule="auto"/>
        <w:jc w:val="center"/>
        <w:rPr>
          <w:rFonts w:hint="default" w:ascii="Times New Roman" w:hAnsi="Times New Roman" w:eastAsia="微软雅黑" w:cs="Times New Roman"/>
          <w:spacing w:val="-5"/>
          <w:sz w:val="31"/>
          <w:szCs w:val="31"/>
          <w:lang w:eastAsia="zh-CN"/>
        </w:rPr>
      </w:pPr>
      <w:r>
        <w:rPr>
          <w:rFonts w:hint="default" w:ascii="Times New Roman" w:hAnsi="Times New Roman" w:eastAsia="微软雅黑" w:cs="Times New Roman"/>
          <w:spacing w:val="-5"/>
          <w:sz w:val="31"/>
          <w:szCs w:val="31"/>
          <w:lang w:eastAsia="zh-CN"/>
        </w:rPr>
        <w:drawing>
          <wp:inline distT="0" distB="0" distL="114300" distR="114300">
            <wp:extent cx="5256530" cy="2988310"/>
            <wp:effectExtent l="5080" t="4445" r="1143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z w:val="31"/>
          <w:szCs w:val="31"/>
        </w:rPr>
      </w:pPr>
      <w:r>
        <w:rPr>
          <w:rFonts w:hint="default" w:ascii="Times New Roman" w:hAnsi="Times New Roman" w:eastAsia="黑体" w:cs="Times New Roman"/>
          <w:spacing w:val="7"/>
          <w:position w:val="1"/>
          <w:sz w:val="31"/>
          <w:szCs w:val="31"/>
        </w:rPr>
        <w:t>四、财政拨款收支总体情况说明</w:t>
      </w:r>
    </w:p>
    <w:p>
      <w:pPr>
        <w:keepNext w:val="0"/>
        <w:keepLines/>
        <w:pageBreakBefore w:val="0"/>
        <w:widowControl w:val="0"/>
        <w:kinsoku/>
        <w:wordWrap/>
        <w:overflowPunct/>
        <w:topLinePunct w:val="0"/>
        <w:autoSpaceDE/>
        <w:autoSpaceDN/>
        <w:bidi w:val="0"/>
        <w:adjustRightInd w:val="0"/>
        <w:snapToGrid w:val="0"/>
        <w:spacing w:before="187" w:line="560" w:lineRule="exact"/>
        <w:ind w:firstLine="660" w:firstLineChars="200"/>
        <w:jc w:val="both"/>
        <w:textAlignment w:val="baseline"/>
        <w:rPr>
          <w:rFonts w:hint="default" w:ascii="Times New Roman" w:hAnsi="Times New Roman" w:eastAsia="仿宋_GB2312" w:cs="Times New Roman"/>
          <w:spacing w:val="3"/>
          <w:sz w:val="31"/>
          <w:szCs w:val="31"/>
          <w:lang w:eastAsia="zh-CN"/>
        </w:rPr>
      </w:pPr>
      <w:r>
        <w:rPr>
          <w:rFonts w:hint="default" w:ascii="Times New Roman" w:hAnsi="Times New Roman" w:eastAsia="仿宋_GB2312" w:cs="Times New Roman"/>
          <w:spacing w:val="10"/>
          <w:sz w:val="31"/>
          <w:szCs w:val="31"/>
          <w:lang w:val="en-US" w:eastAsia="zh-CN"/>
        </w:rPr>
        <w:t>湖北省消防救援总队</w:t>
      </w:r>
      <w:r>
        <w:rPr>
          <w:rFonts w:hint="default" w:ascii="Times New Roman" w:hAnsi="Times New Roman" w:eastAsia="仿宋_GB2312" w:cs="Times New Roman"/>
          <w:spacing w:val="10"/>
          <w:sz w:val="31"/>
          <w:szCs w:val="31"/>
        </w:rPr>
        <w:t>2024年财政拨款收支总预算</w:t>
      </w:r>
      <w:r>
        <w:rPr>
          <w:rFonts w:hint="eastAsia" w:ascii="Times New Roman" w:hAnsi="Times New Roman" w:eastAsia="仿宋_GB2312" w:cs="Times New Roman"/>
          <w:spacing w:val="10"/>
          <w:sz w:val="31"/>
          <w:szCs w:val="31"/>
          <w:lang w:val="en-US" w:eastAsia="zh-CN"/>
        </w:rPr>
        <w:t>6681.20</w:t>
      </w:r>
      <w:r>
        <w:rPr>
          <w:rFonts w:hint="default" w:ascii="Times New Roman" w:hAnsi="Times New Roman" w:eastAsia="仿宋_GB2312" w:cs="Times New Roman"/>
          <w:spacing w:val="2"/>
          <w:sz w:val="31"/>
          <w:szCs w:val="31"/>
        </w:rPr>
        <w:t>万元</w:t>
      </w:r>
      <w:r>
        <w:rPr>
          <w:rFonts w:hint="default" w:ascii="Times New Roman" w:hAnsi="Times New Roman" w:eastAsia="仿宋_GB2312" w:cs="Times New Roman"/>
          <w:spacing w:val="-53"/>
          <w:sz w:val="31"/>
          <w:szCs w:val="31"/>
        </w:rPr>
        <w:t xml:space="preserve"> </w:t>
      </w:r>
      <w:r>
        <w:rPr>
          <w:rFonts w:hint="default" w:ascii="Times New Roman" w:hAnsi="Times New Roman" w:eastAsia="仿宋_GB2312" w:cs="Times New Roman"/>
          <w:spacing w:val="-53"/>
          <w:sz w:val="31"/>
          <w:szCs w:val="31"/>
          <w:lang w:eastAsia="zh-CN"/>
        </w:rPr>
        <w:t>。</w:t>
      </w:r>
      <w:r>
        <w:rPr>
          <w:rFonts w:hint="default" w:ascii="Times New Roman" w:hAnsi="Times New Roman" w:eastAsia="仿宋_GB2312" w:cs="Times New Roman"/>
          <w:spacing w:val="2"/>
          <w:sz w:val="31"/>
          <w:szCs w:val="31"/>
        </w:rPr>
        <w:t>收入包括：一般公共预算拨款</w:t>
      </w:r>
      <w:r>
        <w:rPr>
          <w:rFonts w:hint="eastAsia" w:ascii="Times New Roman" w:hAnsi="Times New Roman" w:eastAsia="仿宋_GB2312" w:cs="Times New Roman"/>
          <w:spacing w:val="2"/>
          <w:sz w:val="31"/>
          <w:szCs w:val="31"/>
          <w:lang w:val="en-US" w:eastAsia="zh-CN"/>
        </w:rPr>
        <w:t>3566.56</w:t>
      </w:r>
      <w:r>
        <w:rPr>
          <w:rFonts w:hint="default" w:ascii="Times New Roman" w:hAnsi="Times New Roman" w:eastAsia="仿宋_GB2312" w:cs="Times New Roman"/>
          <w:spacing w:val="1"/>
          <w:sz w:val="31"/>
          <w:szCs w:val="31"/>
        </w:rPr>
        <w:t>万元</w:t>
      </w:r>
      <w:r>
        <w:rPr>
          <w:rFonts w:hint="default" w:ascii="Times New Roman" w:hAnsi="Times New Roman" w:eastAsia="仿宋_GB2312" w:cs="Times New Roman"/>
          <w:spacing w:val="-35"/>
          <w:sz w:val="31"/>
          <w:szCs w:val="31"/>
          <w:lang w:eastAsia="zh-CN"/>
        </w:rPr>
        <w:t>，</w:t>
      </w:r>
      <w:r>
        <w:rPr>
          <w:rFonts w:hint="default" w:ascii="Times New Roman" w:hAnsi="Times New Roman" w:eastAsia="仿宋_GB2312" w:cs="Times New Roman"/>
          <w:spacing w:val="1"/>
          <w:sz w:val="31"/>
          <w:szCs w:val="31"/>
        </w:rPr>
        <w:t>上年结</w:t>
      </w:r>
      <w:r>
        <w:rPr>
          <w:rFonts w:hint="default" w:ascii="Times New Roman" w:hAnsi="Times New Roman" w:eastAsia="仿宋_GB2312" w:cs="Times New Roman"/>
          <w:spacing w:val="-5"/>
          <w:sz w:val="31"/>
          <w:szCs w:val="31"/>
        </w:rPr>
        <w:t>转</w:t>
      </w:r>
      <w:r>
        <w:rPr>
          <w:rFonts w:hint="eastAsia" w:ascii="Times New Roman" w:hAnsi="Times New Roman" w:eastAsia="仿宋_GB2312" w:cs="Times New Roman"/>
          <w:spacing w:val="-5"/>
          <w:sz w:val="31"/>
          <w:szCs w:val="31"/>
          <w:lang w:val="en-US" w:eastAsia="zh-CN"/>
        </w:rPr>
        <w:t>3114.64</w:t>
      </w:r>
      <w:r>
        <w:rPr>
          <w:rFonts w:hint="default" w:ascii="Times New Roman" w:hAnsi="Times New Roman" w:eastAsia="仿宋_GB2312" w:cs="Times New Roman"/>
          <w:spacing w:val="-5"/>
          <w:sz w:val="31"/>
          <w:szCs w:val="31"/>
        </w:rPr>
        <w:t>万元。支出包括</w:t>
      </w:r>
      <w:r>
        <w:rPr>
          <w:rFonts w:hint="default" w:ascii="Times New Roman" w:hAnsi="Times New Roman" w:eastAsia="仿宋_GB2312" w:cs="Times New Roman"/>
          <w:spacing w:val="-18"/>
          <w:sz w:val="31"/>
          <w:szCs w:val="31"/>
          <w:lang w:eastAsia="zh-CN"/>
        </w:rPr>
        <w:t>：</w:t>
      </w:r>
      <w:r>
        <w:rPr>
          <w:rFonts w:hint="default" w:ascii="Times New Roman" w:hAnsi="Times New Roman" w:eastAsia="仿宋_GB2312" w:cs="Times New Roman"/>
          <w:spacing w:val="-5"/>
          <w:sz w:val="31"/>
          <w:szCs w:val="31"/>
        </w:rPr>
        <w:t>社会保障和就</w:t>
      </w:r>
      <w:r>
        <w:rPr>
          <w:rFonts w:hint="default" w:ascii="Times New Roman" w:hAnsi="Times New Roman" w:eastAsia="仿宋_GB2312" w:cs="Times New Roman"/>
          <w:spacing w:val="-6"/>
          <w:sz w:val="31"/>
          <w:szCs w:val="31"/>
        </w:rPr>
        <w:t>业支出</w:t>
      </w:r>
      <w:r>
        <w:rPr>
          <w:rFonts w:hint="eastAsia" w:ascii="Times New Roman" w:hAnsi="Times New Roman" w:eastAsia="仿宋_GB2312" w:cs="Times New Roman"/>
          <w:sz w:val="31"/>
          <w:szCs w:val="31"/>
          <w:lang w:val="en-US" w:eastAsia="zh-CN"/>
        </w:rPr>
        <w:t>2357.10</w:t>
      </w:r>
      <w:r>
        <w:rPr>
          <w:rFonts w:hint="default" w:ascii="Times New Roman" w:hAnsi="Times New Roman" w:eastAsia="仿宋_GB2312" w:cs="Times New Roman"/>
          <w:sz w:val="31"/>
          <w:szCs w:val="31"/>
        </w:rPr>
        <w:t>万元</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卫生健康支出</w:t>
      </w:r>
      <w:r>
        <w:rPr>
          <w:rFonts w:hint="eastAsia" w:ascii="Times New Roman" w:hAnsi="Times New Roman" w:eastAsia="仿宋_GB2312" w:cs="Times New Roman"/>
          <w:sz w:val="31"/>
          <w:szCs w:val="31"/>
          <w:lang w:val="en-US" w:eastAsia="zh-CN"/>
        </w:rPr>
        <w:t>1003.16</w:t>
      </w:r>
      <w:r>
        <w:rPr>
          <w:rFonts w:hint="default" w:ascii="Times New Roman" w:hAnsi="Times New Roman" w:eastAsia="仿宋_GB2312" w:cs="Times New Roman"/>
          <w:sz w:val="31"/>
          <w:szCs w:val="31"/>
        </w:rPr>
        <w:t>万元</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住房保障支</w:t>
      </w:r>
      <w:r>
        <w:rPr>
          <w:rFonts w:hint="default" w:ascii="Times New Roman" w:hAnsi="Times New Roman" w:eastAsia="仿宋_GB2312" w:cs="Times New Roman"/>
          <w:spacing w:val="1"/>
          <w:sz w:val="31"/>
          <w:szCs w:val="31"/>
        </w:rPr>
        <w:t>出</w:t>
      </w:r>
      <w:r>
        <w:rPr>
          <w:rFonts w:hint="eastAsia" w:ascii="Times New Roman" w:hAnsi="Times New Roman" w:eastAsia="仿宋_GB2312" w:cs="Times New Roman"/>
          <w:spacing w:val="1"/>
          <w:sz w:val="31"/>
          <w:szCs w:val="31"/>
          <w:lang w:val="en-US" w:eastAsia="zh-CN"/>
        </w:rPr>
        <w:t>293.18</w:t>
      </w:r>
      <w:r>
        <w:rPr>
          <w:rFonts w:hint="default" w:ascii="Times New Roman" w:hAnsi="Times New Roman" w:eastAsia="仿宋_GB2312" w:cs="Times New Roman"/>
          <w:spacing w:val="1"/>
          <w:sz w:val="31"/>
          <w:szCs w:val="31"/>
        </w:rPr>
        <w:t>万元</w:t>
      </w:r>
      <w:r>
        <w:rPr>
          <w:rFonts w:hint="default" w:ascii="Times New Roman" w:hAnsi="Times New Roman" w:eastAsia="仿宋_GB2312" w:cs="Times New Roman"/>
          <w:spacing w:val="-32"/>
          <w:sz w:val="31"/>
          <w:szCs w:val="31"/>
          <w:lang w:eastAsia="zh-CN"/>
        </w:rPr>
        <w:t>、</w:t>
      </w:r>
      <w:r>
        <w:rPr>
          <w:rFonts w:hint="default" w:ascii="Times New Roman" w:hAnsi="Times New Roman" w:eastAsia="仿宋_GB2312" w:cs="Times New Roman"/>
          <w:spacing w:val="1"/>
          <w:sz w:val="31"/>
          <w:szCs w:val="31"/>
        </w:rPr>
        <w:t>灾害防</w:t>
      </w:r>
      <w:r>
        <w:rPr>
          <w:rFonts w:hint="default" w:ascii="Times New Roman" w:hAnsi="Times New Roman" w:eastAsia="仿宋_GB2312" w:cs="Times New Roman"/>
          <w:spacing w:val="3"/>
          <w:sz w:val="31"/>
          <w:szCs w:val="31"/>
        </w:rPr>
        <w:t>治及应急管理支出</w:t>
      </w:r>
      <w:r>
        <w:rPr>
          <w:rFonts w:hint="eastAsia" w:ascii="Times New Roman" w:hAnsi="Times New Roman" w:eastAsia="仿宋_GB2312" w:cs="Times New Roman"/>
          <w:spacing w:val="3"/>
          <w:sz w:val="31"/>
          <w:szCs w:val="31"/>
          <w:lang w:val="en-US" w:eastAsia="zh-CN"/>
        </w:rPr>
        <w:t>3027.76</w:t>
      </w:r>
      <w:r>
        <w:rPr>
          <w:rFonts w:hint="default" w:ascii="Times New Roman" w:hAnsi="Times New Roman" w:eastAsia="仿宋_GB2312" w:cs="Times New Roman"/>
          <w:spacing w:val="3"/>
          <w:sz w:val="31"/>
          <w:szCs w:val="31"/>
        </w:rPr>
        <w:t>万元</w:t>
      </w:r>
      <w:r>
        <w:rPr>
          <w:rFonts w:hint="default" w:ascii="Times New Roman" w:hAnsi="Times New Roman" w:eastAsia="仿宋_GB2312" w:cs="Times New Roman"/>
          <w:spacing w:val="3"/>
          <w:sz w:val="31"/>
          <w:szCs w:val="31"/>
          <w:lang w:eastAsia="zh-CN"/>
        </w:rPr>
        <w:t>。</w:t>
      </w:r>
    </w:p>
    <w:p>
      <w:pPr>
        <w:spacing w:before="188" w:line="271" w:lineRule="auto"/>
        <w:jc w:val="center"/>
        <w:rPr>
          <w:rFonts w:hint="default" w:ascii="Times New Roman" w:hAnsi="Times New Roman" w:cs="Times New Roman"/>
        </w:rPr>
      </w:pPr>
      <w:r>
        <w:rPr>
          <w:rFonts w:hint="default" w:ascii="Times New Roman" w:hAnsi="Times New Roman" w:eastAsia="微软雅黑" w:cs="Times New Roman"/>
          <w:spacing w:val="3"/>
          <w:sz w:val="31"/>
          <w:szCs w:val="31"/>
          <w:lang w:eastAsia="zh-CN"/>
        </w:rPr>
        <w:drawing>
          <wp:inline distT="0" distB="0" distL="114300" distR="114300">
            <wp:extent cx="5256530" cy="2988310"/>
            <wp:effectExtent l="5080" t="4445" r="15240" b="1714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五、财政拨款一般公共预算支出情况说明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省消防救援总队2024年一般公共预算财政拨款支出预算3566.56万元，比2023年部门预算执行数减少44.27万元，降低1.23%。2024年，按照党中央、国务院关于“过紧日子”有关要求，湖北省消防救援总队厉行节约办一切事业，严控一般性支出。同时坚持有保有压，优化支出结构，合理保障应对处置各类灾害事故、国家综合性消防救援队伍建设等重点支出需求，体现在有关支出科目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支出功能分类，2024年预算数比2023年执行数增（减）较为明显的款级支出科目为20805行政事业单位养老支出、21011行政事业单位医疗、22102住房改革支出、22402消防救援事务，其中行政事业单位养老支出2024年预算数比2023年执行数减少1208.23万元，降低75.02%；行政事业位医疗2024年预算数比2023年执行数减少81.8万元，降低14.09%；住房改革支出2024年预算数比2023年执行数减少2.8万元，降低1.07%；按照支出功能分类，灾害防治及应急管理支出规模较大，主要是22402消防救援事务2024年预算数为2405.77万元，占部门预算支出总额的67.45%，主要用于维持单位有序运转等方面。</w:t>
      </w:r>
    </w:p>
    <w:p>
      <w:pPr>
        <w:keepNext w:val="0"/>
        <w:keepLines w:val="0"/>
        <w:pageBreakBefore w:val="0"/>
        <w:widowControl/>
        <w:kinsoku w:val="0"/>
        <w:wordWrap/>
        <w:overflowPunct/>
        <w:topLinePunct w:val="0"/>
        <w:autoSpaceDE w:val="0"/>
        <w:autoSpaceDN w:val="0"/>
        <w:bidi w:val="0"/>
        <w:adjustRightInd w:val="0"/>
        <w:snapToGrid w:val="0"/>
        <w:spacing w:before="187" w:line="240" w:lineRule="auto"/>
        <w:ind w:left="2" w:firstLine="640" w:firstLineChars="200"/>
        <w:textAlignment w:val="baseline"/>
        <w:rPr>
          <w:rFonts w:hint="default" w:ascii="Times New Roman" w:hAnsi="Times New Roman" w:eastAsia="微软雅黑" w:cs="Times New Roman"/>
          <w:spacing w:val="5"/>
          <w:sz w:val="31"/>
          <w:szCs w:val="31"/>
          <w:lang w:val="en-US" w:eastAsia="zh-CN"/>
        </w:rPr>
      </w:pPr>
    </w:p>
    <w:p>
      <w:pPr>
        <w:spacing w:before="1" w:line="205" w:lineRule="auto"/>
        <w:ind w:left="16"/>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4603115" cy="3211830"/>
            <wp:effectExtent l="4445" t="4445" r="10160" b="14605"/>
            <wp:docPr id="16" name="图表 16" descr="7b0a202020202263686172745265734964223a202232303437363038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六、一般公共预算基本支出情况说明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湖北省消防救援总队2024年一般公共预算基本支出3566.56万元，其中：人员经费3330.39万元，主要包括：基本工资、津贴补贴、奖金、机关事业单位基本养老保险缴费、职业年金缴费、职工基本医疗保险缴费、住房公积金、医疗费、其他工资福利支出、退休费、抚恤金、其他对个人和家庭的补助；公用经费174.61万元，主要包括：办公费、印刷费、咨询费、手续费、水费、电费、邮电费、取暖费、物业管理费、差旅费、维修（护）费、租赁费、培训费、公务接待费、专用材料费、专用燃料费、委托业务费、工会经费、公务用车运行维护费、其他商品和服务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七、财政拨款预算“三公”经费支出情况说明</w:t>
      </w:r>
    </w:p>
    <w:p>
      <w:pPr>
        <w:keepNext w:val="0"/>
        <w:keepLines/>
        <w:pageBreakBefore w:val="0"/>
        <w:widowControl w:val="0"/>
        <w:kinsoku/>
        <w:wordWrap/>
        <w:overflowPunct/>
        <w:topLinePunct w:val="0"/>
        <w:autoSpaceDE/>
        <w:autoSpaceDN/>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湖北省消防救援总队2024年没有使用财政拨款预算安排“三公”经费支出。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八、2023年政府性基金预算支出情况的说明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湖北省消防救援总队2024年没有使用政府性基金预算拨款安排支出。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九、2023年国有资本经营预算情况的说明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湖北省消防救援总队202</w:t>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年没有使用国有资本经营预算拨款安排支出。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十、其他重要事项情况说明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（一）机关运行经费情况说明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湖北省消防救援总队2024年机关运行经费财政拨款预算174.61万元，比2023年增加61.95万元。主要原因为根据单位需求本年进行结构化调整。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（二）政府采购情况说明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湖北省消防救援总队2024年政府采购预算28705.01万元。其中，采购货物26227.86万元、采购工程1230万元、采购服务1247.15万元。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（三）国有资产占有使用情况说明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8月31日，湖北省消防救援总队所属预算单位共有车辆77辆，其中应急保障用车8辆、执法执勤用车54辆、特种专业技术用车11辆、其他用车4辆，其他用车主要是消防救援业务用车；单位价值100万元以上设备7台（套）。2024年部门预算安排单价100万元以上设备2台（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（四）预算绩效管理情况说明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对湖北省消防救援总队项目支出全面实施绩效目标管理，涉及预算拨款61.56万元，均为一般公共预算拨款。根据以前年度绩效评价结果，优化服装护具及伙食补助等项目支出2024年预算安排，并进一步完善制度、改进管理。部分项目绩效目标表详见附件。</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line="240" w:lineRule="auto"/>
        <w:ind w:left="11" w:right="28" w:firstLine="680"/>
        <w:textAlignment w:val="baseline"/>
        <w:rPr>
          <w:rFonts w:hint="eastAsia" w:ascii="微软雅黑" w:hAnsi="微软雅黑" w:eastAsia="微软雅黑" w:cs="微软雅黑"/>
          <w:spacing w:val="5"/>
          <w:sz w:val="31"/>
          <w:szCs w:val="31"/>
          <w:lang w:val="en-US" w:eastAsia="zh-CN"/>
        </w:rPr>
      </w:pPr>
    </w:p>
    <w:p>
      <w:pPr>
        <w:spacing w:before="157" w:line="271" w:lineRule="auto"/>
        <w:ind w:right="27"/>
        <w:rPr>
          <w:rFonts w:hint="eastAsia" w:ascii="微软雅黑" w:hAnsi="微软雅黑" w:eastAsia="微软雅黑" w:cs="微软雅黑"/>
          <w:spacing w:val="5"/>
          <w:sz w:val="31"/>
          <w:szCs w:val="31"/>
          <w:lang w:val="en-US" w:eastAsia="zh-CN"/>
        </w:rPr>
      </w:pPr>
    </w:p>
    <w:p>
      <w:pPr>
        <w:pStyle w:val="2"/>
        <w:rPr>
          <w:rFonts w:hint="eastAsia" w:ascii="微软雅黑" w:hAnsi="微软雅黑" w:eastAsia="微软雅黑" w:cs="微软雅黑"/>
          <w:spacing w:val="5"/>
          <w:sz w:val="31"/>
          <w:szCs w:val="31"/>
          <w:lang w:val="en-US" w:eastAsia="zh-CN"/>
        </w:rPr>
      </w:pPr>
    </w:p>
    <w:p>
      <w:pPr>
        <w:pStyle w:val="2"/>
        <w:rPr>
          <w:rFonts w:hint="eastAsia" w:ascii="微软雅黑" w:hAnsi="微软雅黑" w:eastAsia="微软雅黑" w:cs="微软雅黑"/>
          <w:spacing w:val="5"/>
          <w:sz w:val="31"/>
          <w:szCs w:val="31"/>
          <w:lang w:val="en-US" w:eastAsia="zh-CN"/>
        </w:rPr>
      </w:pPr>
    </w:p>
    <w:p>
      <w:pPr>
        <w:pStyle w:val="2"/>
        <w:rPr>
          <w:rFonts w:hint="eastAsia" w:ascii="微软雅黑" w:hAnsi="微软雅黑" w:eastAsia="微软雅黑" w:cs="微软雅黑"/>
          <w:spacing w:val="5"/>
          <w:sz w:val="31"/>
          <w:szCs w:val="31"/>
          <w:lang w:val="en-US" w:eastAsia="zh-CN"/>
        </w:rPr>
      </w:pPr>
    </w:p>
    <w:p>
      <w:pPr>
        <w:pStyle w:val="3"/>
        <w:spacing w:line="3584" w:lineRule="exact"/>
        <w:sectPr>
          <w:footerReference r:id="rId19" w:type="default"/>
          <w:pgSz w:w="11907" w:h="16840"/>
          <w:pgMar w:top="2098" w:right="1531" w:bottom="1984" w:left="1531" w:header="0" w:footer="646" w:gutter="0"/>
          <w:pgNumType w:fmt="decimal"/>
          <w:cols w:space="720" w:num="1"/>
        </w:sectPr>
      </w:pPr>
      <w:r>
        <w:rPr>
          <w:sz w:val="21"/>
        </w:rPr>
        <mc:AlternateContent>
          <mc:Choice Requires="wps">
            <w:drawing>
              <wp:anchor distT="0" distB="0" distL="114300" distR="114300" simplePos="0" relativeHeight="251663360" behindDoc="0" locked="0" layoutInCell="1" allowOverlap="1">
                <wp:simplePos x="0" y="0"/>
                <wp:positionH relativeFrom="column">
                  <wp:posOffset>-974725</wp:posOffset>
                </wp:positionH>
                <wp:positionV relativeFrom="paragraph">
                  <wp:posOffset>981710</wp:posOffset>
                </wp:positionV>
                <wp:extent cx="7567295" cy="2293620"/>
                <wp:effectExtent l="5080" t="4445" r="17145" b="18415"/>
                <wp:wrapNone/>
                <wp:docPr id="27" name="文本框 27"/>
                <wp:cNvGraphicFramePr/>
                <a:graphic xmlns:a="http://schemas.openxmlformats.org/drawingml/2006/main">
                  <a:graphicData uri="http://schemas.microsoft.com/office/word/2010/wordprocessingShape">
                    <wps:wsp>
                      <wps:cNvSpPr txBox="1"/>
                      <wps:spPr>
                        <a:xfrm>
                          <a:off x="187325" y="6110605"/>
                          <a:ext cx="7567295" cy="2293620"/>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bidi w:val="0"/>
                              <w:adjustRightInd w:val="0"/>
                              <w:snapToGrid w:val="0"/>
                              <w:spacing w:before="250"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第四部分</w:t>
                            </w:r>
                          </w:p>
                          <w:p>
                            <w:pPr>
                              <w:jc w:val="center"/>
                            </w:pPr>
                            <w:r>
                              <w:rPr>
                                <w:rFonts w:ascii="微软雅黑" w:hAnsi="微软雅黑" w:eastAsia="微软雅黑" w:cs="微软雅黑"/>
                                <w:spacing w:val="1"/>
                                <w:sz w:val="71"/>
                                <w:szCs w:val="71"/>
                              </w:rPr>
                              <w:t>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75pt;margin-top:77.3pt;height:180.6pt;width:595.85pt;z-index:251663360;mso-width-relative:page;mso-height-relative:page;" fillcolor="#92D050" filled="t" stroked="t" coordsize="21600,21600" o:gfxdata="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9rHUE2wAAAA0BAAAPAAAAAAAAAAEAIAAAACIAAABkcnMvZG93bnJldi54&#10;bWxQSwECFAAUAAAACACHTuJAbB0HPmkCAADFBAAADgAAAAAAAAABACAAAAAqAQAAZHJzL2Uyb0Rv&#10;Yy54bWxQSwUGAAAAAAYABgBZAQAABQYAAAAA&#10;">
                <v:fill on="t" focussize="0,0"/>
                <v:stroke weight="0.5pt" color="#000000 [3204]" joinstyle="round"/>
                <v:imagedata o:title=""/>
                <o:lock v:ext="edit" aspectratio="f"/>
                <v:textbox>
                  <w:txbxContent>
                    <w:p>
                      <w:pPr>
                        <w:keepNext w:val="0"/>
                        <w:keepLines w:val="0"/>
                        <w:pageBreakBefore w:val="0"/>
                        <w:widowControl/>
                        <w:kinsoku w:val="0"/>
                        <w:wordWrap/>
                        <w:overflowPunct/>
                        <w:topLinePunct w:val="0"/>
                        <w:bidi w:val="0"/>
                        <w:adjustRightInd w:val="0"/>
                        <w:snapToGrid w:val="0"/>
                        <w:spacing w:before="250"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第四部分</w:t>
                      </w:r>
                    </w:p>
                    <w:p>
                      <w:pPr>
                        <w:jc w:val="center"/>
                      </w:pPr>
                      <w:r>
                        <w:rPr>
                          <w:rFonts w:ascii="微软雅黑" w:hAnsi="微软雅黑" w:eastAsia="微软雅黑" w:cs="微软雅黑"/>
                          <w:spacing w:val="1"/>
                          <w:sz w:val="71"/>
                          <w:szCs w:val="71"/>
                        </w:rPr>
                        <w:t>名词解释</w:t>
                      </w:r>
                    </w:p>
                  </w:txbxContent>
                </v:textbox>
              </v:shape>
            </w:pict>
          </mc:Fallback>
        </mc:AlternateContent>
      </w:r>
    </w:p>
    <w:p>
      <w:pPr>
        <w:spacing w:before="172" w:line="183" w:lineRule="auto"/>
        <w:rPr>
          <w:rFonts w:hint="default" w:ascii="Times New Roman" w:hAnsi="Times New Roman" w:eastAsia="微软雅黑" w:cs="Times New Roman"/>
          <w:sz w:val="40"/>
          <w:szCs w:val="40"/>
          <w:lang w:val="en-US" w:eastAsia="zh-CN"/>
        </w:rPr>
      </w:pPr>
      <w:r>
        <w:rPr>
          <w:rFonts w:hint="default" w:ascii="Times New Roman" w:hAnsi="Times New Roman" w:eastAsia="微软雅黑" w:cs="Times New Roman"/>
          <w:spacing w:val="6"/>
          <w:sz w:val="35"/>
          <w:szCs w:val="35"/>
          <w:lang w:val="en-US" w:eastAsia="zh-CN"/>
        </w:rPr>
        <w:t>湖北省消防救援总队2024年部门预算</w:t>
      </w:r>
      <w:r>
        <w:rPr>
          <w:rFonts w:hint="default" w:ascii="Times New Roman" w:hAnsi="Times New Roman" w:eastAsia="微软雅黑" w:cs="Times New Roman"/>
          <w:spacing w:val="58"/>
          <w:sz w:val="40"/>
          <w:szCs w:val="40"/>
        </w:rPr>
        <w:t xml:space="preserve"> </w:t>
      </w:r>
      <w:r>
        <w:rPr>
          <w:rFonts w:hint="default" w:ascii="Times New Roman" w:hAnsi="Times New Roman" w:eastAsia="微软雅黑" w:cs="Times New Roman"/>
          <w:spacing w:val="6"/>
          <w:sz w:val="35"/>
          <w:szCs w:val="35"/>
          <w:lang w:val="en-US" w:eastAsia="zh-CN"/>
        </w:rPr>
        <w:drawing>
          <wp:inline distT="0" distB="0" distL="0" distR="0">
            <wp:extent cx="187960" cy="19939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1"/>
                    <a:stretch>
                      <a:fillRect/>
                    </a:stretch>
                  </pic:blipFill>
                  <pic:spPr>
                    <a:xfrm>
                      <a:off x="0" y="0"/>
                      <a:ext cx="188467" cy="199390"/>
                    </a:xfrm>
                    <a:prstGeom prst="rect">
                      <a:avLst/>
                    </a:prstGeom>
                  </pic:spPr>
                </pic:pic>
              </a:graphicData>
            </a:graphic>
          </wp:inline>
        </w:drawing>
      </w:r>
      <w:r>
        <w:rPr>
          <w:rFonts w:hint="default" w:ascii="Times New Roman" w:hAnsi="Times New Roman" w:eastAsia="微软雅黑" w:cs="Times New Roman"/>
          <w:spacing w:val="6"/>
          <w:sz w:val="35"/>
          <w:szCs w:val="35"/>
          <w:lang w:val="en-US" w:eastAsia="zh-CN"/>
        </w:rPr>
        <w:t xml:space="preserve"> 名词解释</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ascii="黑体" w:hAnsi="黑体" w:eastAsia="黑体" w:cs="黑体"/>
          <w:spacing w:val="5"/>
          <w:position w:val="1"/>
          <w:sz w:val="31"/>
          <w:szCs w:val="31"/>
        </w:rPr>
      </w:pPr>
      <w:r>
        <w:rPr>
          <w:rFonts w:ascii="黑体" w:hAnsi="黑体" w:eastAsia="黑体" w:cs="黑体"/>
          <w:spacing w:val="5"/>
          <w:position w:val="1"/>
          <w:sz w:val="31"/>
          <w:szCs w:val="31"/>
        </w:rPr>
        <w:t>一、收入类</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hint="eastAsia" w:ascii="仿宋_GB2312" w:hAnsi="仿宋_GB2312" w:eastAsia="仿宋_GB2312" w:cs="仿宋_GB2312"/>
          <w:spacing w:val="-6"/>
          <w:sz w:val="31"/>
          <w:szCs w:val="31"/>
        </w:rPr>
      </w:pPr>
      <w:r>
        <w:rPr>
          <w:rFonts w:hint="eastAsia" w:ascii="楷体_GB2312" w:hAnsi="楷体_GB2312" w:eastAsia="楷体_GB2312" w:cs="楷体_GB2312"/>
          <w:spacing w:val="-6"/>
          <w:sz w:val="31"/>
          <w:szCs w:val="31"/>
        </w:rPr>
        <w:t>（一）一般公共预算拨款收入</w:t>
      </w:r>
      <w:r>
        <w:rPr>
          <w:rFonts w:hint="eastAsia" w:ascii="仿宋_GB2312" w:hAnsi="仿宋_GB2312" w:eastAsia="仿宋_GB2312" w:cs="仿宋_GB2312"/>
          <w:spacing w:val="-6"/>
          <w:sz w:val="31"/>
          <w:szCs w:val="31"/>
        </w:rPr>
        <w:t>：指中央财政当年拨付的资金。</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hint="eastAsia" w:ascii="仿宋_GB2312" w:hAnsi="仿宋_GB2312" w:eastAsia="仿宋_GB2312" w:cs="仿宋_GB2312"/>
          <w:spacing w:val="3"/>
          <w:sz w:val="31"/>
          <w:szCs w:val="31"/>
        </w:rPr>
      </w:pPr>
      <w:r>
        <w:rPr>
          <w:rFonts w:hint="eastAsia" w:ascii="楷体_GB2312" w:hAnsi="楷体_GB2312" w:eastAsia="楷体_GB2312" w:cs="楷体_GB2312"/>
          <w:spacing w:val="-6"/>
          <w:sz w:val="31"/>
          <w:szCs w:val="31"/>
        </w:rPr>
        <w:t>（二）事业收入</w:t>
      </w:r>
      <w:r>
        <w:rPr>
          <w:rFonts w:hint="eastAsia" w:ascii="仿宋_GB2312" w:hAnsi="仿宋_GB2312" w:eastAsia="仿宋_GB2312" w:cs="仿宋_GB2312"/>
          <w:spacing w:val="3"/>
          <w:sz w:val="31"/>
          <w:szCs w:val="31"/>
        </w:rPr>
        <w:t>：指事业单位开展专业业务活动及辅助活动所取得的收入。</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hint="eastAsia" w:ascii="仿宋_GB2312" w:hAnsi="仿宋_GB2312" w:eastAsia="仿宋_GB2312" w:cs="仿宋_GB2312"/>
          <w:spacing w:val="3"/>
          <w:sz w:val="31"/>
          <w:szCs w:val="31"/>
        </w:rPr>
      </w:pPr>
      <w:r>
        <w:rPr>
          <w:rFonts w:hint="eastAsia" w:ascii="楷体_GB2312" w:hAnsi="楷体_GB2312" w:eastAsia="楷体_GB2312" w:cs="楷体_GB2312"/>
          <w:spacing w:val="-6"/>
          <w:sz w:val="31"/>
          <w:szCs w:val="31"/>
        </w:rPr>
        <w:t>（三）其他收入</w:t>
      </w:r>
      <w:r>
        <w:rPr>
          <w:rFonts w:hint="eastAsia" w:ascii="仿宋_GB2312" w:hAnsi="仿宋_GB2312" w:eastAsia="仿宋_GB2312" w:cs="仿宋_GB2312"/>
          <w:spacing w:val="3"/>
          <w:sz w:val="31"/>
          <w:szCs w:val="31"/>
        </w:rPr>
        <w:t>：指除上述“一般公共预算拨款收入”“事业收入”以外的收入。主要是各级地方财政拨款收入、存款利息收入等。</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ascii="微软雅黑" w:hAnsi="微软雅黑" w:eastAsia="微软雅黑" w:cs="微软雅黑"/>
          <w:spacing w:val="3"/>
          <w:sz w:val="31"/>
          <w:szCs w:val="31"/>
        </w:rPr>
      </w:pPr>
      <w:r>
        <w:rPr>
          <w:rFonts w:hint="eastAsia" w:ascii="楷体_GB2312" w:hAnsi="楷体_GB2312" w:eastAsia="楷体_GB2312" w:cs="楷体_GB2312"/>
          <w:spacing w:val="-6"/>
          <w:sz w:val="31"/>
          <w:szCs w:val="31"/>
        </w:rPr>
        <w:t>（四）上年结转</w:t>
      </w:r>
      <w:r>
        <w:rPr>
          <w:rFonts w:hint="eastAsia" w:ascii="仿宋_GB2312" w:hAnsi="仿宋_GB2312" w:eastAsia="仿宋_GB2312" w:cs="仿宋_GB2312"/>
          <w:spacing w:val="3"/>
          <w:sz w:val="31"/>
          <w:szCs w:val="31"/>
        </w:rPr>
        <w:t>：指以前年度尚未完成、结转到本年仍按原规定用途继续使用的资金。</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ascii="黑体" w:hAnsi="黑体" w:eastAsia="黑体" w:cs="黑体"/>
          <w:spacing w:val="5"/>
          <w:position w:val="2"/>
          <w:sz w:val="31"/>
          <w:szCs w:val="31"/>
        </w:rPr>
      </w:pPr>
      <w:r>
        <w:rPr>
          <w:rFonts w:ascii="黑体" w:hAnsi="黑体" w:eastAsia="黑体" w:cs="黑体"/>
          <w:spacing w:val="5"/>
          <w:position w:val="2"/>
          <w:sz w:val="31"/>
          <w:szCs w:val="31"/>
        </w:rPr>
        <w:t>二、支出类</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8"/>
          <w:sz w:val="31"/>
          <w:szCs w:val="31"/>
        </w:rPr>
      </w:pPr>
      <w:r>
        <w:rPr>
          <w:rFonts w:hint="eastAsia" w:ascii="楷体" w:hAnsi="楷体" w:eastAsia="楷体" w:cs="楷体"/>
          <w:spacing w:val="-6"/>
          <w:sz w:val="31"/>
          <w:szCs w:val="31"/>
          <w:lang w:val="en-US" w:eastAsia="zh-CN"/>
        </w:rPr>
        <w:t>（一）社会保障和就业支出（类）行政事业单位养老支出（款）机关事业单位基本养老保险缴费支出（项）：</w:t>
      </w:r>
      <w:r>
        <w:rPr>
          <w:rFonts w:hint="eastAsia" w:ascii="仿宋_GB2312" w:hAnsi="仿宋_GB2312" w:eastAsia="仿宋_GB2312" w:cs="仿宋_GB2312"/>
          <w:spacing w:val="7"/>
          <w:sz w:val="31"/>
          <w:szCs w:val="31"/>
        </w:rPr>
        <w:t>指机关事业单位实</w:t>
      </w:r>
      <w:r>
        <w:rPr>
          <w:rFonts w:hint="eastAsia" w:ascii="仿宋_GB2312" w:hAnsi="仿宋_GB2312" w:eastAsia="仿宋_GB2312" w:cs="仿宋_GB2312"/>
          <w:spacing w:val="8"/>
          <w:sz w:val="31"/>
          <w:szCs w:val="31"/>
        </w:rPr>
        <w:t>施养老保险制度由单位缴纳的基本养老保险费支出。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8"/>
          <w:sz w:val="31"/>
          <w:szCs w:val="31"/>
        </w:rPr>
      </w:pPr>
      <w:r>
        <w:rPr>
          <w:rFonts w:hint="eastAsia" w:ascii="楷体" w:hAnsi="楷体" w:eastAsia="楷体" w:cs="楷体"/>
          <w:spacing w:val="-6"/>
          <w:sz w:val="31"/>
          <w:szCs w:val="31"/>
          <w:lang w:val="en-US" w:eastAsia="zh-CN"/>
        </w:rPr>
        <w:t>（二）社会保障和就业支出（类）行政事业单位养老支出（款）机关事业单位职业年金缴费支出（项）：</w:t>
      </w:r>
      <w:r>
        <w:rPr>
          <w:rFonts w:hint="eastAsia" w:ascii="仿宋_GB2312" w:hAnsi="仿宋_GB2312" w:eastAsia="仿宋_GB2312" w:cs="仿宋_GB2312"/>
          <w:spacing w:val="7"/>
          <w:sz w:val="31"/>
          <w:szCs w:val="31"/>
        </w:rPr>
        <w:t>指机关事业单位实施养</w:t>
      </w:r>
      <w:r>
        <w:rPr>
          <w:rFonts w:hint="eastAsia" w:ascii="仿宋_GB2312" w:hAnsi="仿宋_GB2312" w:eastAsia="仿宋_GB2312" w:cs="仿宋_GB2312"/>
          <w:spacing w:val="8"/>
          <w:sz w:val="31"/>
          <w:szCs w:val="31"/>
        </w:rPr>
        <w:t>老保险制度由单位实际缴纳的职业年金支出。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7"/>
          <w:sz w:val="31"/>
          <w:szCs w:val="31"/>
        </w:rPr>
      </w:pPr>
      <w:r>
        <w:rPr>
          <w:rFonts w:hint="eastAsia" w:ascii="楷体" w:hAnsi="楷体" w:eastAsia="楷体" w:cs="楷体"/>
          <w:spacing w:val="-6"/>
          <w:sz w:val="31"/>
          <w:szCs w:val="31"/>
          <w:lang w:val="en-US" w:eastAsia="zh-CN"/>
        </w:rPr>
        <w:t>（三）卫生健康支出（类）行政事业单位医疗（款）行政单位医疗（项）：</w:t>
      </w:r>
      <w:r>
        <w:rPr>
          <w:rFonts w:hint="eastAsia" w:ascii="仿宋_GB2312" w:hAnsi="仿宋_GB2312" w:eastAsia="仿宋_GB2312" w:cs="仿宋_GB2312"/>
          <w:spacing w:val="6"/>
          <w:sz w:val="31"/>
          <w:szCs w:val="31"/>
        </w:rPr>
        <w:t>指中央财政安排的行政单位（包括参照公务员法</w:t>
      </w:r>
      <w:r>
        <w:rPr>
          <w:rFonts w:hint="eastAsia" w:ascii="仿宋_GB2312" w:hAnsi="仿宋_GB2312" w:eastAsia="仿宋_GB2312" w:cs="仿宋_GB2312"/>
          <w:spacing w:val="7"/>
          <w:sz w:val="31"/>
          <w:szCs w:val="31"/>
        </w:rPr>
        <w:t>管理事业单位）基本医疗保险缴费经费。</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7"/>
          <w:sz w:val="31"/>
          <w:szCs w:val="31"/>
        </w:rPr>
      </w:pPr>
      <w:r>
        <w:rPr>
          <w:rFonts w:hint="eastAsia" w:ascii="楷体" w:hAnsi="楷体" w:eastAsia="楷体" w:cs="楷体"/>
          <w:spacing w:val="-6"/>
          <w:sz w:val="31"/>
          <w:szCs w:val="31"/>
          <w:lang w:val="en-US" w:eastAsia="zh-CN"/>
        </w:rPr>
        <w:t>（四）卫生健康支出（类）行政事业单位医疗（款）其他行政事业单位医疗支出（项）：</w:t>
      </w:r>
      <w:r>
        <w:rPr>
          <w:rFonts w:hint="eastAsia" w:ascii="仿宋_GB2312" w:hAnsi="仿宋_GB2312" w:eastAsia="仿宋_GB2312" w:cs="仿宋_GB2312"/>
          <w:spacing w:val="5"/>
          <w:sz w:val="31"/>
          <w:szCs w:val="31"/>
        </w:rPr>
        <w:t>中央财政安排的行政单位（包括参</w:t>
      </w:r>
      <w:r>
        <w:rPr>
          <w:rFonts w:hint="eastAsia" w:ascii="仿宋_GB2312" w:hAnsi="仿宋_GB2312" w:eastAsia="仿宋_GB2312" w:cs="仿宋_GB2312"/>
          <w:spacing w:val="7"/>
          <w:sz w:val="31"/>
          <w:szCs w:val="31"/>
        </w:rPr>
        <w:t>照公务员法管理事业单位）其他医疗费用。</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11"/>
          <w:sz w:val="31"/>
          <w:szCs w:val="31"/>
        </w:rPr>
      </w:pPr>
      <w:r>
        <w:rPr>
          <w:rFonts w:hint="eastAsia" w:ascii="楷体" w:hAnsi="楷体" w:eastAsia="楷体" w:cs="楷体"/>
          <w:spacing w:val="-6"/>
          <w:sz w:val="31"/>
          <w:szCs w:val="31"/>
          <w:lang w:val="en-US" w:eastAsia="zh-CN"/>
        </w:rPr>
        <w:t>（五）住房保障支出（类）住房改革支出（款）住房公积金（项）：</w:t>
      </w:r>
      <w:r>
        <w:rPr>
          <w:rFonts w:hint="eastAsia" w:ascii="仿宋_GB2312" w:hAnsi="仿宋_GB2312" w:eastAsia="仿宋_GB2312" w:cs="仿宋_GB2312"/>
          <w:spacing w:val="3"/>
          <w:sz w:val="31"/>
          <w:szCs w:val="31"/>
        </w:rPr>
        <w:t>指按照《住房公积金管理条例》的规定，由单位及其在</w:t>
      </w:r>
      <w:r>
        <w:rPr>
          <w:rFonts w:hint="eastAsia" w:ascii="仿宋_GB2312" w:hAnsi="仿宋_GB2312" w:eastAsia="仿宋_GB2312" w:cs="仿宋_GB2312"/>
          <w:spacing w:val="16"/>
          <w:sz w:val="31"/>
          <w:szCs w:val="31"/>
        </w:rPr>
        <w:t>职职工缴存的长期住房储金。该项政策始于上世纪九十年代中</w:t>
      </w:r>
      <w:r>
        <w:rPr>
          <w:rFonts w:hint="eastAsia" w:ascii="仿宋_GB2312" w:hAnsi="仿宋_GB2312" w:eastAsia="仿宋_GB2312" w:cs="仿宋_GB2312"/>
          <w:spacing w:val="2"/>
          <w:sz w:val="31"/>
          <w:szCs w:val="31"/>
        </w:rPr>
        <w:t>期，在全国机关、企事业单位在职职工中普遍实施，缴存比例最</w:t>
      </w:r>
      <w:r>
        <w:rPr>
          <w:rFonts w:hint="eastAsia" w:ascii="仿宋_GB2312" w:hAnsi="仿宋_GB2312" w:eastAsia="仿宋_GB2312" w:cs="仿宋_GB2312"/>
          <w:spacing w:val="1"/>
          <w:sz w:val="31"/>
          <w:szCs w:val="31"/>
        </w:rPr>
        <w:t>低不低</w:t>
      </w:r>
      <w:r>
        <w:rPr>
          <w:rFonts w:hint="default" w:ascii="Times New Roman" w:hAnsi="Times New Roman" w:eastAsia="仿宋_GB2312" w:cs="Times New Roman"/>
          <w:spacing w:val="1"/>
          <w:sz w:val="31"/>
          <w:szCs w:val="31"/>
        </w:rPr>
        <w:t>于5%</w:t>
      </w:r>
      <w:r>
        <w:rPr>
          <w:rFonts w:hint="eastAsia" w:ascii="仿宋_GB2312" w:hAnsi="仿宋_GB2312" w:eastAsia="仿宋_GB2312" w:cs="仿宋_GB2312"/>
          <w:spacing w:val="1"/>
          <w:sz w:val="31"/>
          <w:szCs w:val="31"/>
        </w:rPr>
        <w:t>，最高不超过</w:t>
      </w:r>
      <w:r>
        <w:rPr>
          <w:rFonts w:hint="default" w:ascii="Times New Roman" w:hAnsi="Times New Roman" w:eastAsia="仿宋_GB2312" w:cs="Times New Roman"/>
          <w:spacing w:val="1"/>
          <w:sz w:val="31"/>
          <w:szCs w:val="31"/>
        </w:rPr>
        <w:t>12%</w:t>
      </w:r>
      <w:r>
        <w:rPr>
          <w:rFonts w:hint="eastAsia" w:ascii="仿宋_GB2312" w:hAnsi="仿宋_GB2312" w:eastAsia="仿宋_GB2312" w:cs="仿宋_GB2312"/>
          <w:spacing w:val="1"/>
          <w:sz w:val="31"/>
          <w:szCs w:val="31"/>
        </w:rPr>
        <w:t>，缴存基数为职工本人上年工资。</w:t>
      </w:r>
      <w:r>
        <w:rPr>
          <w:rFonts w:hint="eastAsia" w:ascii="仿宋_GB2312" w:hAnsi="仿宋_GB2312" w:eastAsia="仿宋_GB2312" w:cs="仿宋_GB2312"/>
          <w:spacing w:val="6"/>
          <w:sz w:val="31"/>
          <w:szCs w:val="31"/>
        </w:rPr>
        <w:t>行政单位缴存基数包括国家统一规定的公务员职务工资、级别工</w:t>
      </w:r>
      <w:r>
        <w:rPr>
          <w:rFonts w:hint="eastAsia" w:ascii="仿宋_GB2312" w:hAnsi="仿宋_GB2312" w:eastAsia="仿宋_GB2312" w:cs="仿宋_GB2312"/>
          <w:spacing w:val="2"/>
          <w:sz w:val="31"/>
          <w:szCs w:val="31"/>
        </w:rPr>
        <w:t>资、机关工人岗位工资和技术等级（职务）工资、年终一次性奖</w:t>
      </w:r>
      <w:r>
        <w:rPr>
          <w:rFonts w:hint="eastAsia" w:ascii="仿宋_GB2312" w:hAnsi="仿宋_GB2312" w:eastAsia="仿宋_GB2312" w:cs="仿宋_GB2312"/>
          <w:spacing w:val="6"/>
          <w:sz w:val="31"/>
          <w:szCs w:val="31"/>
        </w:rPr>
        <w:t>金、特殊岗位津贴、艰苦边远地区津贴，规范后发放的工作性津贴、生活性补贴等；事业单位缴存基数包括国家统一规定的岗位</w:t>
      </w:r>
      <w:r>
        <w:rPr>
          <w:rFonts w:hint="eastAsia" w:ascii="仿宋_GB2312" w:hAnsi="仿宋_GB2312" w:eastAsia="仿宋_GB2312" w:cs="仿宋_GB2312"/>
          <w:spacing w:val="3"/>
          <w:sz w:val="31"/>
          <w:szCs w:val="31"/>
        </w:rPr>
        <w:t>工资、薪级工资、绩效工资、艰苦边远地区津贴、特殊岗位津贴</w:t>
      </w:r>
      <w:r>
        <w:rPr>
          <w:rFonts w:hint="eastAsia" w:ascii="仿宋_GB2312" w:hAnsi="仿宋_GB2312" w:eastAsia="仿宋_GB2312" w:cs="仿宋_GB2312"/>
          <w:spacing w:val="-11"/>
          <w:sz w:val="31"/>
          <w:szCs w:val="31"/>
        </w:rPr>
        <w:t>等。</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6"/>
          <w:sz w:val="31"/>
          <w:szCs w:val="31"/>
        </w:rPr>
      </w:pPr>
      <w:r>
        <w:rPr>
          <w:rFonts w:hint="eastAsia" w:ascii="楷体" w:hAnsi="楷体" w:eastAsia="楷体" w:cs="楷体"/>
          <w:spacing w:val="-6"/>
          <w:sz w:val="31"/>
          <w:szCs w:val="31"/>
          <w:lang w:val="en-US" w:eastAsia="zh-CN"/>
        </w:rPr>
        <w:t>（六）灾害防治及应急管理支出（类）消防事务（款）行政运行（项）：</w:t>
      </w:r>
      <w:r>
        <w:rPr>
          <w:rFonts w:hint="eastAsia" w:ascii="仿宋_GB2312" w:hAnsi="仿宋_GB2312" w:eastAsia="仿宋_GB2312" w:cs="仿宋_GB2312"/>
          <w:spacing w:val="7"/>
          <w:sz w:val="31"/>
          <w:szCs w:val="31"/>
        </w:rPr>
        <w:t>指</w:t>
      </w:r>
      <w:r>
        <w:rPr>
          <w:rFonts w:hint="eastAsia" w:ascii="仿宋_GB2312" w:hAnsi="仿宋_GB2312" w:eastAsia="仿宋_GB2312" w:cs="仿宋_GB2312"/>
          <w:spacing w:val="7"/>
          <w:sz w:val="31"/>
          <w:szCs w:val="31"/>
          <w:lang w:eastAsia="zh-CN"/>
        </w:rPr>
        <w:t>湖北省</w:t>
      </w:r>
      <w:r>
        <w:rPr>
          <w:rFonts w:hint="eastAsia" w:ascii="仿宋_GB2312" w:hAnsi="仿宋_GB2312" w:eastAsia="仿宋_GB2312" w:cs="仿宋_GB2312"/>
          <w:spacing w:val="7"/>
          <w:sz w:val="31"/>
          <w:szCs w:val="31"/>
          <w:lang w:val="en-US" w:eastAsia="zh-CN"/>
        </w:rPr>
        <w:t>消防救援总队</w:t>
      </w:r>
      <w:r>
        <w:rPr>
          <w:rFonts w:hint="eastAsia" w:ascii="仿宋_GB2312" w:hAnsi="仿宋_GB2312" w:eastAsia="仿宋_GB2312" w:cs="仿宋_GB2312"/>
          <w:spacing w:val="7"/>
          <w:sz w:val="31"/>
          <w:szCs w:val="31"/>
        </w:rPr>
        <w:t>及所属消防救援队伍用于保障机</w:t>
      </w:r>
      <w:r>
        <w:rPr>
          <w:rFonts w:hint="eastAsia" w:ascii="仿宋_GB2312" w:hAnsi="仿宋_GB2312" w:eastAsia="仿宋_GB2312" w:cs="仿宋_GB2312"/>
          <w:spacing w:val="6"/>
          <w:sz w:val="31"/>
          <w:szCs w:val="31"/>
        </w:rPr>
        <w:t>构正常运行、开展日常工作的基本支出。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25"/>
          <w:sz w:val="31"/>
          <w:szCs w:val="31"/>
        </w:rPr>
      </w:pPr>
      <w:r>
        <w:rPr>
          <w:rFonts w:hint="eastAsia" w:ascii="楷体" w:hAnsi="楷体" w:eastAsia="楷体" w:cs="楷体"/>
          <w:spacing w:val="-6"/>
          <w:sz w:val="31"/>
          <w:szCs w:val="31"/>
          <w:lang w:val="en-US" w:eastAsia="zh-CN"/>
        </w:rPr>
        <w:t>（七）灾害防治及应急管理支出（类）消防事务（款）消防应急救援（项）：</w:t>
      </w:r>
      <w:r>
        <w:rPr>
          <w:rFonts w:hint="eastAsia" w:ascii="仿宋_GB2312" w:hAnsi="仿宋_GB2312" w:eastAsia="仿宋_GB2312" w:cs="仿宋_GB2312"/>
          <w:spacing w:val="7"/>
          <w:sz w:val="31"/>
          <w:szCs w:val="31"/>
        </w:rPr>
        <w:t>指</w:t>
      </w:r>
      <w:r>
        <w:rPr>
          <w:rFonts w:hint="eastAsia" w:ascii="仿宋_GB2312" w:hAnsi="仿宋_GB2312" w:eastAsia="仿宋_GB2312" w:cs="仿宋_GB2312"/>
          <w:spacing w:val="7"/>
          <w:sz w:val="31"/>
          <w:szCs w:val="31"/>
          <w:lang w:eastAsia="zh-CN"/>
        </w:rPr>
        <w:t>湖北省</w:t>
      </w:r>
      <w:r>
        <w:rPr>
          <w:rFonts w:hint="eastAsia" w:ascii="仿宋_GB2312" w:hAnsi="仿宋_GB2312" w:eastAsia="仿宋_GB2312" w:cs="仿宋_GB2312"/>
          <w:spacing w:val="7"/>
          <w:sz w:val="31"/>
          <w:szCs w:val="31"/>
          <w:lang w:val="en-US" w:eastAsia="zh-CN"/>
        </w:rPr>
        <w:t>消防救援总队</w:t>
      </w:r>
      <w:r>
        <w:rPr>
          <w:rFonts w:hint="eastAsia" w:ascii="仿宋_GB2312" w:hAnsi="仿宋_GB2312" w:eastAsia="仿宋_GB2312" w:cs="仿宋_GB2312"/>
          <w:spacing w:val="7"/>
          <w:sz w:val="31"/>
          <w:szCs w:val="31"/>
        </w:rPr>
        <w:t>开展消防应急救援方面的支</w:t>
      </w:r>
      <w:r>
        <w:rPr>
          <w:rFonts w:hint="eastAsia" w:ascii="仿宋_GB2312" w:hAnsi="仿宋_GB2312" w:eastAsia="仿宋_GB2312" w:cs="仿宋_GB2312"/>
          <w:spacing w:val="-25"/>
          <w:sz w:val="31"/>
          <w:szCs w:val="31"/>
        </w:rPr>
        <w:t>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6"/>
          <w:sz w:val="31"/>
          <w:szCs w:val="31"/>
        </w:rPr>
      </w:pPr>
      <w:r>
        <w:rPr>
          <w:rFonts w:hint="eastAsia" w:ascii="楷体" w:hAnsi="楷体" w:eastAsia="楷体" w:cs="楷体"/>
          <w:spacing w:val="-6"/>
          <w:sz w:val="31"/>
          <w:szCs w:val="31"/>
          <w:lang w:val="en-US" w:eastAsia="zh-CN"/>
        </w:rPr>
        <w:t>（八）灾害防治及应急管理支出（类）消防事务（款）其他消防事务支出（项）：</w:t>
      </w:r>
      <w:r>
        <w:rPr>
          <w:rFonts w:hint="eastAsia" w:ascii="仿宋_GB2312" w:hAnsi="仿宋_GB2312" w:eastAsia="仿宋_GB2312" w:cs="仿宋_GB2312"/>
          <w:spacing w:val="6"/>
          <w:sz w:val="31"/>
          <w:szCs w:val="31"/>
        </w:rPr>
        <w:t>指</w:t>
      </w:r>
      <w:r>
        <w:rPr>
          <w:rFonts w:hint="eastAsia" w:ascii="仿宋_GB2312" w:hAnsi="仿宋_GB2312" w:eastAsia="仿宋_GB2312" w:cs="仿宋_GB2312"/>
          <w:spacing w:val="6"/>
          <w:sz w:val="31"/>
          <w:szCs w:val="31"/>
          <w:lang w:eastAsia="zh-CN"/>
        </w:rPr>
        <w:t>湖北省</w:t>
      </w:r>
      <w:r>
        <w:rPr>
          <w:rFonts w:hint="eastAsia" w:ascii="仿宋_GB2312" w:hAnsi="仿宋_GB2312" w:eastAsia="仿宋_GB2312" w:cs="仿宋_GB2312"/>
          <w:spacing w:val="6"/>
          <w:sz w:val="31"/>
          <w:szCs w:val="31"/>
          <w:lang w:val="en-US" w:eastAsia="zh-CN"/>
        </w:rPr>
        <w:t>消防总队</w:t>
      </w:r>
      <w:r>
        <w:rPr>
          <w:rFonts w:hint="eastAsia" w:ascii="仿宋_GB2312" w:hAnsi="仿宋_GB2312" w:eastAsia="仿宋_GB2312" w:cs="仿宋_GB2312"/>
          <w:spacing w:val="6"/>
          <w:sz w:val="31"/>
          <w:szCs w:val="31"/>
        </w:rPr>
        <w:t>机动费项目支出。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6"/>
          <w:sz w:val="31"/>
          <w:szCs w:val="31"/>
        </w:rPr>
      </w:pPr>
      <w:r>
        <w:rPr>
          <w:rFonts w:hint="eastAsia" w:ascii="楷体" w:hAnsi="楷体" w:eastAsia="楷体" w:cs="楷体"/>
          <w:spacing w:val="-6"/>
          <w:sz w:val="31"/>
          <w:szCs w:val="31"/>
          <w:lang w:val="en-US" w:eastAsia="zh-CN"/>
        </w:rPr>
        <w:t>（九）结转下年：</w:t>
      </w:r>
      <w:r>
        <w:rPr>
          <w:rFonts w:hint="eastAsia" w:ascii="仿宋_GB2312" w:hAnsi="仿宋_GB2312" w:eastAsia="仿宋_GB2312" w:cs="仿宋_GB2312"/>
          <w:spacing w:val="6"/>
          <w:sz w:val="31"/>
          <w:szCs w:val="31"/>
        </w:rPr>
        <w:t>指以前年度预算安排、因客观条件发生变化无法按原计划实施，需延迟到以后年度按原规定用途继续使</w:t>
      </w:r>
      <w:r>
        <w:rPr>
          <w:rFonts w:hint="eastAsia" w:ascii="仿宋_GB2312" w:hAnsi="仿宋_GB2312" w:eastAsia="仿宋_GB2312" w:cs="仿宋_GB2312"/>
          <w:spacing w:val="6"/>
          <w:sz w:val="31"/>
          <w:szCs w:val="31"/>
          <w:lang w:val="en-US" w:eastAsia="zh-CN"/>
        </w:rPr>
        <w:t>用</w:t>
      </w:r>
      <w:r>
        <w:rPr>
          <w:rFonts w:hint="eastAsia" w:ascii="仿宋_GB2312" w:hAnsi="仿宋_GB2312" w:eastAsia="仿宋_GB2312" w:cs="仿宋_GB2312"/>
          <w:spacing w:val="6"/>
          <w:sz w:val="31"/>
          <w:szCs w:val="31"/>
        </w:rPr>
        <w:t>的资金。</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3"/>
          <w:position w:val="20"/>
          <w:sz w:val="31"/>
          <w:szCs w:val="31"/>
        </w:rPr>
      </w:pPr>
      <w:r>
        <w:rPr>
          <w:rFonts w:hint="eastAsia" w:ascii="楷体" w:hAnsi="楷体" w:eastAsia="楷体" w:cs="楷体"/>
          <w:spacing w:val="-6"/>
          <w:sz w:val="31"/>
          <w:szCs w:val="31"/>
          <w:lang w:val="en-US" w:eastAsia="zh-CN"/>
        </w:rPr>
        <w:t>（十）基本支出：</w:t>
      </w:r>
      <w:r>
        <w:rPr>
          <w:rFonts w:hint="eastAsia" w:ascii="仿宋_GB2312" w:hAnsi="仿宋_GB2312" w:eastAsia="仿宋_GB2312" w:cs="仿宋_GB2312"/>
          <w:spacing w:val="6"/>
          <w:sz w:val="31"/>
          <w:szCs w:val="31"/>
        </w:rPr>
        <w:t>指为保障机构正常运转、完成日常工作任务而发生的人员支出和公用支出。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3"/>
          <w:position w:val="20"/>
          <w:sz w:val="31"/>
          <w:szCs w:val="31"/>
        </w:rPr>
      </w:pPr>
      <w:r>
        <w:rPr>
          <w:rFonts w:hint="eastAsia" w:ascii="楷体" w:hAnsi="楷体" w:eastAsia="楷体" w:cs="楷体"/>
          <w:spacing w:val="-6"/>
          <w:sz w:val="31"/>
          <w:szCs w:val="31"/>
          <w:lang w:val="en-US" w:eastAsia="zh-CN"/>
        </w:rPr>
        <w:t>（十一）项目支出：</w:t>
      </w:r>
      <w:r>
        <w:rPr>
          <w:rFonts w:hint="eastAsia" w:ascii="仿宋_GB2312" w:hAnsi="仿宋_GB2312" w:eastAsia="仿宋_GB2312" w:cs="仿宋_GB2312"/>
          <w:spacing w:val="6"/>
          <w:sz w:val="31"/>
          <w:szCs w:val="31"/>
        </w:rPr>
        <w:t>指在基本支出之外为完成特定行政任务和事业发展目标所发生的支出。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6"/>
          <w:sz w:val="31"/>
          <w:szCs w:val="31"/>
        </w:rPr>
      </w:pPr>
      <w:r>
        <w:rPr>
          <w:rFonts w:hint="eastAsia" w:ascii="楷体" w:hAnsi="楷体" w:eastAsia="楷体" w:cs="楷体"/>
          <w:spacing w:val="-6"/>
          <w:sz w:val="31"/>
          <w:szCs w:val="31"/>
          <w:lang w:val="en-US" w:eastAsia="zh-CN"/>
        </w:rPr>
        <w:t>（十二）“三公”经费：</w:t>
      </w:r>
      <w:r>
        <w:rPr>
          <w:rFonts w:hint="eastAsia" w:ascii="仿宋_GB2312" w:hAnsi="仿宋_GB2312" w:eastAsia="仿宋_GB2312" w:cs="仿宋_GB2312"/>
          <w:spacing w:val="6"/>
          <w:sz w:val="31"/>
          <w:szCs w:val="31"/>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w:t>
      </w:r>
      <w:r>
        <w:rPr>
          <w:rFonts w:hint="eastAsia" w:ascii="仿宋_GB2312" w:hAnsi="仿宋_GB2312" w:eastAsia="仿宋_GB2312" w:cs="仿宋_GB2312"/>
          <w:spacing w:val="6"/>
          <w:sz w:val="31"/>
          <w:szCs w:val="31"/>
          <w:lang w:eastAsia="zh-CN"/>
        </w:rPr>
        <w:t>、</w:t>
      </w:r>
      <w:r>
        <w:rPr>
          <w:rFonts w:hint="eastAsia" w:ascii="仿宋_GB2312" w:hAnsi="仿宋_GB2312" w:eastAsia="仿宋_GB2312" w:cs="仿宋_GB2312"/>
          <w:spacing w:val="6"/>
          <w:sz w:val="31"/>
          <w:szCs w:val="31"/>
        </w:rPr>
        <w:t>过路过桥费、保险费、安全奖励费用等支出；公务接待费反映单位按规定开支的各类公务接待（含外宾接待）支出。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3"/>
          <w:position w:val="20"/>
          <w:sz w:val="31"/>
          <w:szCs w:val="31"/>
        </w:rPr>
      </w:pPr>
      <w:r>
        <w:rPr>
          <w:rFonts w:hint="eastAsia" w:ascii="楷体" w:hAnsi="楷体" w:eastAsia="楷体" w:cs="楷体"/>
          <w:spacing w:val="-6"/>
          <w:sz w:val="31"/>
          <w:szCs w:val="31"/>
          <w:lang w:val="en-US" w:eastAsia="zh-CN"/>
        </w:rPr>
        <w:t>（十三）机关运行经费：</w:t>
      </w:r>
      <w:r>
        <w:rPr>
          <w:rFonts w:hint="eastAsia" w:ascii="仿宋_GB2312" w:hAnsi="仿宋_GB2312" w:eastAsia="仿宋_GB2312" w:cs="仿宋_GB2312"/>
          <w:spacing w:val="6"/>
          <w:sz w:val="31"/>
          <w:szCs w:val="31"/>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费以及其他费用。</w:t>
      </w:r>
    </w:p>
    <w:p>
      <w:pPr>
        <w:pStyle w:val="3"/>
        <w:spacing w:line="251" w:lineRule="auto"/>
        <w:rPr>
          <w:rFonts w:hint="eastAsia" w:ascii="仿宋_GB2312" w:hAnsi="仿宋_GB2312" w:eastAsia="仿宋_GB2312" w:cs="仿宋_GB2312"/>
        </w:r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2" w:lineRule="auto"/>
      </w:pPr>
    </w:p>
    <w:p>
      <w:pPr>
        <w:pStyle w:val="3"/>
        <w:spacing w:line="3584" w:lineRule="exact"/>
      </w:pPr>
      <w:r>
        <w:rPr>
          <w:sz w:val="21"/>
        </w:rPr>
        <mc:AlternateContent>
          <mc:Choice Requires="wps">
            <w:drawing>
              <wp:anchor distT="0" distB="0" distL="114300" distR="114300" simplePos="0" relativeHeight="251664384" behindDoc="0" locked="0" layoutInCell="1" allowOverlap="1">
                <wp:simplePos x="0" y="0"/>
                <wp:positionH relativeFrom="column">
                  <wp:posOffset>-974725</wp:posOffset>
                </wp:positionH>
                <wp:positionV relativeFrom="paragraph">
                  <wp:posOffset>1209040</wp:posOffset>
                </wp:positionV>
                <wp:extent cx="7597775" cy="2205355"/>
                <wp:effectExtent l="4445" t="4445" r="17780" b="15240"/>
                <wp:wrapNone/>
                <wp:docPr id="28" name="文本框 28"/>
                <wp:cNvGraphicFramePr/>
                <a:graphic xmlns:a="http://schemas.openxmlformats.org/drawingml/2006/main">
                  <a:graphicData uri="http://schemas.microsoft.com/office/word/2010/wordprocessingShape">
                    <wps:wsp>
                      <wps:cNvSpPr txBox="1"/>
                      <wps:spPr>
                        <a:xfrm>
                          <a:off x="208915" y="4351020"/>
                          <a:ext cx="7597775" cy="2205355"/>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bidi w:val="0"/>
                              <w:adjustRightInd w:val="0"/>
                              <w:snapToGrid w:val="0"/>
                              <w:spacing w:before="251"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第五部分</w:t>
                            </w:r>
                          </w:p>
                          <w:p>
                            <w:pPr>
                              <w:jc w:val="center"/>
                            </w:pPr>
                            <w:r>
                              <w:rPr>
                                <w:rFonts w:ascii="微软雅黑" w:hAnsi="微软雅黑" w:eastAsia="微软雅黑" w:cs="微软雅黑"/>
                                <w:spacing w:val="-3"/>
                                <w:sz w:val="71"/>
                                <w:szCs w:val="71"/>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75pt;margin-top:95.2pt;height:173.65pt;width:598.25pt;z-index:251664384;mso-width-relative:page;mso-height-relative:page;" fillcolor="#92D050" filled="t" stroked="t" coordsize="21600,21600" o:gfxdata="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6nul/bAAAADQEAAA8AAAAAAAAAAQAgAAAAIgAAAGRycy9kb3ducmV2Lnht&#10;bFBLAQIUABQAAAAIAIdO4kAqwbU9aAIAAMUEAAAOAAAAAAAAAAEAIAAAACoBAABkcnMvZTJvRG9j&#10;LnhtbFBLBQYAAAAABgAGAFkBAAAEBgAAAAA=&#10;">
                <v:fill on="t" focussize="0,0"/>
                <v:stroke weight="0.5pt" color="#000000 [3204]" joinstyle="round"/>
                <v:imagedata o:title=""/>
                <o:lock v:ext="edit" aspectratio="f"/>
                <v:textbox>
                  <w:txbxContent>
                    <w:p>
                      <w:pPr>
                        <w:keepNext w:val="0"/>
                        <w:keepLines w:val="0"/>
                        <w:pageBreakBefore w:val="0"/>
                        <w:widowControl/>
                        <w:kinsoku w:val="0"/>
                        <w:wordWrap/>
                        <w:overflowPunct/>
                        <w:topLinePunct w:val="0"/>
                        <w:bidi w:val="0"/>
                        <w:adjustRightInd w:val="0"/>
                        <w:snapToGrid w:val="0"/>
                        <w:spacing w:before="251"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第五部分</w:t>
                      </w:r>
                    </w:p>
                    <w:p>
                      <w:pPr>
                        <w:jc w:val="center"/>
                      </w:pPr>
                      <w:r>
                        <w:rPr>
                          <w:rFonts w:ascii="微软雅黑" w:hAnsi="微软雅黑" w:eastAsia="微软雅黑" w:cs="微软雅黑"/>
                          <w:spacing w:val="-3"/>
                          <w:sz w:val="71"/>
                          <w:szCs w:val="71"/>
                        </w:rPr>
                        <w:t>附件</w:t>
                      </w:r>
                    </w:p>
                  </w:txbxContent>
                </v:textbox>
              </v:shape>
            </w:pict>
          </mc:Fallback>
        </mc:AlternateContent>
      </w: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bookmarkStart w:id="11" w:name="_GoBack"/>
      <w:bookmarkEnd w:id="11"/>
    </w:p>
    <w:p>
      <w:pPr>
        <w:pStyle w:val="3"/>
        <w:spacing w:line="244"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spacing w:before="172" w:line="182" w:lineRule="auto"/>
        <w:rPr>
          <w:rFonts w:ascii="微软雅黑" w:hAnsi="微软雅黑" w:eastAsia="微软雅黑" w:cs="微软雅黑"/>
          <w:sz w:val="40"/>
          <w:szCs w:val="40"/>
        </w:rPr>
      </w:pPr>
      <w:r>
        <w:rPr>
          <w:rFonts w:hint="eastAsia" w:ascii="微软雅黑" w:hAnsi="微软雅黑" w:eastAsia="微软雅黑" w:cs="微软雅黑"/>
          <w:spacing w:val="-3"/>
          <w:sz w:val="40"/>
          <w:szCs w:val="40"/>
          <w:lang w:eastAsia="zh-CN"/>
        </w:rPr>
        <w:t>湖北省</w:t>
      </w:r>
      <w:r>
        <w:rPr>
          <w:rFonts w:hint="eastAsia" w:ascii="微软雅黑" w:hAnsi="微软雅黑" w:eastAsia="微软雅黑" w:cs="微软雅黑"/>
          <w:spacing w:val="-3"/>
          <w:sz w:val="40"/>
          <w:szCs w:val="40"/>
          <w:lang w:val="en-US" w:eastAsia="zh-CN"/>
        </w:rPr>
        <w:t>消防救援总队</w:t>
      </w:r>
      <w:r>
        <w:rPr>
          <w:rFonts w:ascii="Times New Roman" w:hAnsi="Times New Roman" w:eastAsia="Times New Roman" w:cs="Times New Roman"/>
          <w:spacing w:val="-3"/>
          <w:sz w:val="40"/>
          <w:szCs w:val="40"/>
        </w:rPr>
        <w:t xml:space="preserve"> 2024 </w:t>
      </w:r>
      <w:r>
        <w:rPr>
          <w:rFonts w:ascii="微软雅黑" w:hAnsi="微软雅黑" w:eastAsia="微软雅黑" w:cs="微软雅黑"/>
          <w:spacing w:val="-3"/>
          <w:sz w:val="40"/>
          <w:szCs w:val="40"/>
        </w:rPr>
        <w:t xml:space="preserve">年部门预算 </w:t>
      </w:r>
      <w:r>
        <w:rPr>
          <w:position w:val="-2"/>
          <w:sz w:val="40"/>
          <w:szCs w:val="40"/>
        </w:rPr>
        <w:drawing>
          <wp:inline distT="0" distB="0" distL="0" distR="0">
            <wp:extent cx="187960" cy="198755"/>
            <wp:effectExtent l="0" t="0" r="7620" b="1079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2"/>
                    <a:stretch>
                      <a:fillRect/>
                    </a:stretch>
                  </pic:blipFill>
                  <pic:spPr>
                    <a:xfrm>
                      <a:off x="0" y="0"/>
                      <a:ext cx="188467" cy="199389"/>
                    </a:xfrm>
                    <a:prstGeom prst="rect">
                      <a:avLst/>
                    </a:prstGeom>
                  </pic:spPr>
                </pic:pic>
              </a:graphicData>
            </a:graphic>
          </wp:inline>
        </w:drawing>
      </w:r>
      <w:r>
        <w:rPr>
          <w:rFonts w:ascii="微软雅黑" w:hAnsi="微软雅黑" w:eastAsia="微软雅黑" w:cs="微软雅黑"/>
          <w:spacing w:val="83"/>
          <w:sz w:val="40"/>
          <w:szCs w:val="40"/>
        </w:rPr>
        <w:t xml:space="preserve"> </w:t>
      </w:r>
      <w:r>
        <w:rPr>
          <w:rFonts w:ascii="微软雅黑" w:hAnsi="微软雅黑" w:eastAsia="微软雅黑" w:cs="微软雅黑"/>
          <w:spacing w:val="-3"/>
          <w:sz w:val="40"/>
          <w:szCs w:val="40"/>
        </w:rPr>
        <w:t>附件</w:t>
      </w:r>
    </w:p>
    <w:p>
      <w:pPr>
        <w:pStyle w:val="3"/>
        <w:spacing w:line="273" w:lineRule="auto"/>
      </w:pPr>
    </w:p>
    <w:p>
      <w:pPr>
        <w:pStyle w:val="3"/>
        <w:spacing w:line="273" w:lineRule="auto"/>
      </w:pPr>
    </w:p>
    <w:p>
      <w:pPr>
        <w:spacing w:before="136" w:beforeLines="0" w:afterLines="0" w:line="226" w:lineRule="auto"/>
        <w:jc w:val="center"/>
        <w:rPr>
          <w:rFonts w:hint="eastAsia" w:ascii="黑体" w:hAnsi="黑体" w:eastAsia="黑体"/>
          <w:sz w:val="31"/>
        </w:rPr>
      </w:pPr>
      <w:r>
        <w:rPr>
          <w:rFonts w:hint="eastAsia" w:ascii="黑体" w:hAnsi="黑体" w:eastAsia="黑体"/>
          <w:spacing w:val="9"/>
          <w:sz w:val="31"/>
        </w:rPr>
        <w:t>服装护具及伙食补助项目绩效目标表</w:t>
      </w:r>
    </w:p>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tbl>
      <w:tblPr>
        <w:tblStyle w:val="6"/>
        <w:tblpPr w:leftFromText="180" w:rightFromText="180" w:vertAnchor="text" w:horzAnchor="page" w:tblpX="400" w:tblpY="273"/>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ind w:left="2991"/>
              <w:rPr>
                <w:rFonts w:hint="eastAsia" w:ascii="宋体" w:hAnsi="宋体" w:eastAsia="宋体"/>
                <w:sz w:val="22"/>
              </w:rPr>
            </w:pPr>
            <w:r>
              <w:rPr>
                <w:rFonts w:hint="eastAsia" w:eastAsia="仿宋_GB2312"/>
                <w:sz w:val="24"/>
              </w:rPr>
              <w:t>湖北省消防总队</w:t>
            </w:r>
            <w:r>
              <w:rPr>
                <w:rFonts w:hint="eastAsia" w:eastAsia="仿宋_GB2312"/>
                <w:sz w:val="24"/>
                <w:lang w:eastAsia="zh-CN"/>
              </w:rPr>
              <w:t xml:space="preserve">本级 </w:t>
            </w:r>
            <w:r>
              <w:rPr>
                <w:rFonts w:hint="eastAsia" w:eastAsia="仿宋_GB2312"/>
                <w:sz w:val="24"/>
              </w:rPr>
              <w:t>伙食补助费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61.56</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61.56</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default" w:ascii="Times New Roman" w:hAnsi="Times New Roman" w:eastAsia="Times New Roman"/>
                <w:position w:val="-2"/>
                <w:sz w:val="22"/>
              </w:rPr>
              <w:t>-</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455" w:lineRule="auto"/>
              <w:rPr>
                <w:rFonts w:hint="default"/>
                <w:sz w:val="21"/>
              </w:rPr>
            </w:pPr>
          </w:p>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pacing w:val="-2"/>
                <w:sz w:val="22"/>
              </w:rPr>
              <w:t>科学调剂伙食，保证消防救援指战员营养和体能消耗需要，提升队伍战斗力，预算执行率达到 95%以上。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 效 指 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产出指标</w:t>
            </w:r>
          </w:p>
        </w:tc>
        <w:tc>
          <w:tcPr>
            <w:tcW w:w="1893"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食品安全率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default"/>
                <w:sz w:val="21"/>
              </w:rPr>
            </w:pPr>
          </w:p>
        </w:tc>
        <w:tc>
          <w:tcPr>
            <w:tcW w:w="1893"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专款专用率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效益指标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保证消防救援人员体力充沛，不断提高战斗力</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满意度</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服务对象</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满意度指标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消防救援人员满意度</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w:t>
            </w:r>
          </w:p>
        </w:tc>
      </w:tr>
    </w:tbl>
    <w:p>
      <w:pPr>
        <w:pStyle w:val="3"/>
      </w:pPr>
    </w:p>
    <w:p>
      <w:pPr>
        <w:bidi w:val="0"/>
      </w:pPr>
    </w:p>
    <w:p>
      <w:pPr>
        <w:bidi w:val="0"/>
      </w:pPr>
    </w:p>
    <w:p>
      <w:pPr>
        <w:bidi w:val="0"/>
      </w:pPr>
    </w:p>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1"/>
        </w:rPr>
      </w:pPr>
      <w:r>
        <w:rPr>
          <w:rFonts w:hint="eastAsia" w:ascii="黑体" w:hAnsi="黑体" w:eastAsia="黑体"/>
          <w:sz w:val="32"/>
          <w:lang w:eastAsia="zh-CN"/>
        </w:rPr>
        <w:t>装备购置</w:t>
      </w:r>
      <w:r>
        <w:rPr>
          <w:rFonts w:hint="eastAsia" w:ascii="黑体" w:hAnsi="黑体" w:eastAsia="黑体"/>
          <w:spacing w:val="9"/>
          <w:sz w:val="31"/>
        </w:rPr>
        <w:t>项目绩效目标表</w:t>
      </w:r>
    </w:p>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tbl>
      <w:tblPr>
        <w:tblStyle w:val="6"/>
        <w:tblpPr w:leftFromText="180" w:rightFromText="180" w:vertAnchor="text" w:horzAnchor="page" w:tblpX="757" w:tblpY="29"/>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ind w:left="2991"/>
              <w:rPr>
                <w:rFonts w:hint="eastAsia" w:ascii="宋体" w:hAnsi="宋体" w:eastAsia="宋体"/>
                <w:sz w:val="22"/>
              </w:rPr>
            </w:pPr>
            <w:r>
              <w:rPr>
                <w:rFonts w:hint="eastAsia" w:eastAsia="仿宋_GB2312"/>
                <w:sz w:val="24"/>
              </w:rPr>
              <w:t>全省装备采购经费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16788.00</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eastAsia" w:ascii="Times New Roman" w:hAnsi="Times New Roman" w:eastAsia="宋体"/>
                <w:sz w:val="22"/>
                <w:lang w:eastAsia="zh-CN"/>
              </w:rPr>
              <w:t>16788.00</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jc w:val="center"/>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pacing w:val="-2"/>
                <w:sz w:val="22"/>
              </w:rPr>
              <w:t>1.规范消防救援队伍车辆装备保障专业救援人员职业鉴定工作，建立和完善鉴定考核评价体系，强化装备专业技术培训，提升队伍装备应用与维护水平，切实</w:t>
            </w:r>
            <w:r>
              <w:rPr>
                <w:rFonts w:hint="eastAsia" w:ascii="宋体" w:hAnsi="宋体" w:eastAsia="宋体"/>
                <w:spacing w:val="-2"/>
                <w:sz w:val="22"/>
                <w:lang w:eastAsia="zh-CN"/>
              </w:rPr>
              <w:t>提</w:t>
            </w:r>
            <w:r>
              <w:rPr>
                <w:rFonts w:hint="eastAsia" w:ascii="宋体" w:hAnsi="宋体" w:eastAsia="宋体"/>
                <w:spacing w:val="-2"/>
                <w:sz w:val="22"/>
              </w:rPr>
              <w:t>高消防救援队伍应对“全灾</w:t>
            </w:r>
            <w:r>
              <w:rPr>
                <w:rFonts w:hint="eastAsia" w:ascii="宋体" w:hAnsi="宋体" w:eastAsia="宋体"/>
                <w:spacing w:val="-2"/>
                <w:sz w:val="22"/>
                <w:lang w:eastAsia="zh-CN"/>
              </w:rPr>
              <w:t>种</w:t>
            </w:r>
            <w:r>
              <w:rPr>
                <w:rFonts w:hint="eastAsia" w:ascii="宋体" w:hAnsi="宋体" w:eastAsia="宋体"/>
                <w:spacing w:val="-2"/>
                <w:sz w:val="22"/>
              </w:rPr>
              <w:t>、大应急”的战勤保障能力和水平。2.优化应急救援装备结构，提升队伍战斗力，承担高层、地下、大空间大跨度火灾扑救，</w:t>
            </w:r>
            <w:r>
              <w:rPr>
                <w:rFonts w:hint="eastAsia" w:ascii="宋体" w:hAnsi="宋体" w:eastAsia="宋体"/>
                <w:spacing w:val="-2"/>
                <w:sz w:val="22"/>
                <w:lang w:eastAsia="zh-CN"/>
              </w:rPr>
              <w:t>地质</w:t>
            </w:r>
            <w:r>
              <w:rPr>
                <w:rFonts w:hint="eastAsia" w:ascii="宋体" w:hAnsi="宋体" w:eastAsia="宋体"/>
                <w:spacing w:val="-2"/>
                <w:sz w:val="22"/>
              </w:rPr>
              <w:t>灾害救援，石化灾害处置，水域事故救援，高速公路事故处置，空中救助，战勤保障等任务，实现平时战时一体化、训练执勤一体化、战勤保障一体化，立足省内、辐射周边，随用随调，逐行重特大灾害事故跨区域救援，进一步提升防范应对和处置突发事件的保障能力。3.提高消防救援队伍作战能力，提升抵御重大风险能力；加强应急宣传教育，提升群众消防安全意识；做好后勤保障工作，创造良好的工作和生活环境，提供坚实保障和有力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w:t>
            </w:r>
            <w:r>
              <w:rPr>
                <w:rFonts w:hint="eastAsia" w:ascii="宋体" w:hAnsi="宋体" w:eastAsia="宋体"/>
                <w:spacing w:val="-17"/>
                <w:sz w:val="22"/>
              </w:rPr>
              <w:t xml:space="preserve"> </w:t>
            </w:r>
            <w:r>
              <w:rPr>
                <w:rFonts w:hint="eastAsia" w:ascii="宋体" w:hAnsi="宋体" w:eastAsia="宋体"/>
                <w:sz w:val="22"/>
              </w:rPr>
              <w:t>效</w:t>
            </w:r>
            <w:r>
              <w:rPr>
                <w:rFonts w:hint="eastAsia" w:ascii="宋体" w:hAnsi="宋体" w:eastAsia="宋体"/>
                <w:spacing w:val="-19"/>
                <w:sz w:val="22"/>
              </w:rPr>
              <w:t xml:space="preserve"> </w:t>
            </w:r>
            <w:r>
              <w:rPr>
                <w:rFonts w:hint="eastAsia" w:ascii="宋体" w:hAnsi="宋体" w:eastAsia="宋体"/>
                <w:sz w:val="22"/>
              </w:rPr>
              <w:t>指</w:t>
            </w:r>
            <w:r>
              <w:rPr>
                <w:rFonts w:hint="eastAsia" w:ascii="宋体" w:hAnsi="宋体" w:eastAsia="宋体"/>
                <w:spacing w:val="-19"/>
                <w:sz w:val="22"/>
              </w:rPr>
              <w:t xml:space="preserve"> </w:t>
            </w:r>
            <w:r>
              <w:rPr>
                <w:rFonts w:hint="eastAsia" w:ascii="宋体" w:hAnsi="宋体" w:eastAsia="宋体"/>
                <w:sz w:val="22"/>
              </w:rPr>
              <w:t>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产出指标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数量指标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设施设备采购完成率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default"/>
                <w:sz w:val="21"/>
              </w:rPr>
            </w:pP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专款专用率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效益指标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指战员保持充沛体力,进一步提升战斗力</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满意度</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服务对象</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满意度指标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指战员满意度</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w:t>
            </w:r>
          </w:p>
        </w:tc>
      </w:tr>
    </w:tbl>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2"/>
          <w:lang w:eastAsia="zh-CN"/>
        </w:rPr>
      </w:pPr>
    </w:p>
    <w:p>
      <w:pPr>
        <w:pStyle w:val="2"/>
        <w:rPr>
          <w:rFonts w:hint="eastAsia" w:ascii="黑体" w:hAnsi="黑体" w:eastAsia="黑体"/>
          <w:sz w:val="32"/>
          <w:lang w:eastAsia="zh-CN"/>
        </w:rPr>
      </w:pPr>
    </w:p>
    <w:p>
      <w:pPr>
        <w:pStyle w:val="2"/>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1"/>
        </w:rPr>
      </w:pPr>
      <w:r>
        <w:rPr>
          <w:rFonts w:hint="eastAsia" w:ascii="黑体" w:hAnsi="黑体" w:eastAsia="黑体"/>
          <w:sz w:val="32"/>
          <w:lang w:eastAsia="zh-CN"/>
        </w:rPr>
        <w:t>基础设施建设</w:t>
      </w:r>
      <w:r>
        <w:rPr>
          <w:rFonts w:hint="eastAsia" w:ascii="黑体" w:hAnsi="黑体" w:eastAsia="黑体"/>
          <w:sz w:val="32"/>
        </w:rPr>
        <w:t>项目</w:t>
      </w:r>
      <w:r>
        <w:rPr>
          <w:rFonts w:hint="eastAsia" w:ascii="黑体" w:hAnsi="黑体" w:eastAsia="黑体"/>
          <w:spacing w:val="9"/>
          <w:sz w:val="31"/>
        </w:rPr>
        <w:t>项目绩效目标表</w:t>
      </w:r>
    </w:p>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tbl>
      <w:tblPr>
        <w:tblStyle w:val="6"/>
        <w:tblpPr w:leftFromText="180" w:rightFromText="180" w:vertAnchor="text" w:horzAnchor="page" w:tblpX="735" w:tblpY="54"/>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jc w:val="center"/>
              <w:rPr>
                <w:rFonts w:hint="eastAsia" w:ascii="宋体" w:hAnsi="宋体" w:eastAsia="宋体"/>
                <w:sz w:val="22"/>
              </w:rPr>
            </w:pPr>
            <w:r>
              <w:rPr>
                <w:rFonts w:hint="eastAsia" w:eastAsia="仿宋_GB2312"/>
                <w:sz w:val="24"/>
              </w:rPr>
              <w:t>鄂州市消防训练基地暨湖北省消防职业技能鉴定站装备维修中心战勤保障基地项目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2800.00</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eastAsia" w:ascii="Times New Roman" w:hAnsi="Times New Roman" w:eastAsia="宋体"/>
                <w:sz w:val="22"/>
                <w:lang w:eastAsia="zh-CN"/>
              </w:rPr>
              <w:t>2800.00</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jc w:val="center"/>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z w:val="22"/>
              </w:rPr>
              <w:t>占地面积157.1亩，总建筑面积23451.55㎡。其中职业技能鉴定站地上8层、地下1层（为消防水池、泵房），建筑高度31.65米，建筑面积7357.64㎡（地上建筑面积6788.60㎡，地下建筑面积569.04㎡），可容纳约200人的培训和食宿；装备维修中心地上2层，建筑高度14.5米，建筑面积5292.44㎡，设有维修车间、配件库、工具间等；战勤保障基地地上3层，建筑高度13.80米，建筑面积10801.47㎡，设有大型车辆停车位43个及装备器材仓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w:t>
            </w:r>
            <w:r>
              <w:rPr>
                <w:rFonts w:hint="eastAsia" w:ascii="宋体" w:hAnsi="宋体" w:eastAsia="宋体"/>
                <w:spacing w:val="-17"/>
                <w:sz w:val="22"/>
              </w:rPr>
              <w:t xml:space="preserve"> </w:t>
            </w:r>
            <w:r>
              <w:rPr>
                <w:rFonts w:hint="eastAsia" w:ascii="宋体" w:hAnsi="宋体" w:eastAsia="宋体"/>
                <w:sz w:val="22"/>
              </w:rPr>
              <w:t>效</w:t>
            </w:r>
            <w:r>
              <w:rPr>
                <w:rFonts w:hint="eastAsia" w:ascii="宋体" w:hAnsi="宋体" w:eastAsia="宋体"/>
                <w:spacing w:val="-19"/>
                <w:sz w:val="22"/>
              </w:rPr>
              <w:t xml:space="preserve"> </w:t>
            </w:r>
            <w:r>
              <w:rPr>
                <w:rFonts w:hint="eastAsia" w:ascii="宋体" w:hAnsi="宋体" w:eastAsia="宋体"/>
                <w:sz w:val="22"/>
              </w:rPr>
              <w:t>指</w:t>
            </w:r>
            <w:r>
              <w:rPr>
                <w:rFonts w:hint="eastAsia" w:ascii="宋体" w:hAnsi="宋体" w:eastAsia="宋体"/>
                <w:spacing w:val="-19"/>
                <w:sz w:val="22"/>
              </w:rPr>
              <w:t xml:space="preserve"> </w:t>
            </w:r>
            <w:r>
              <w:rPr>
                <w:rFonts w:hint="eastAsia" w:ascii="宋体" w:hAnsi="宋体" w:eastAsia="宋体"/>
                <w:sz w:val="22"/>
              </w:rPr>
              <w:t>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成本指标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经济成本指标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项目总投资</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sz w:val="21"/>
              </w:rPr>
            </w:pPr>
            <w:r>
              <w:rPr>
                <w:rFonts w:hint="eastAsia" w:ascii="宋体" w:hAnsi="宋体" w:eastAsia="宋体"/>
                <w:sz w:val="22"/>
                <w:lang w:eastAsia="zh-CN"/>
              </w:rPr>
              <w:t>产出指标</w:t>
            </w:r>
          </w:p>
        </w:tc>
        <w:tc>
          <w:tcPr>
            <w:tcW w:w="1893" w:type="dxa"/>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数量指标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建筑面积</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23451.55平方米</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工程质量</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效益指标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建成使用</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bl>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1"/>
        </w:rPr>
      </w:pPr>
      <w:r>
        <w:rPr>
          <w:rFonts w:hint="eastAsia" w:ascii="黑体" w:hAnsi="黑体" w:eastAsia="黑体"/>
          <w:sz w:val="32"/>
          <w:lang w:eastAsia="zh-CN"/>
        </w:rPr>
        <w:t>基础设施建设</w:t>
      </w:r>
      <w:r>
        <w:rPr>
          <w:rFonts w:hint="eastAsia" w:ascii="黑体" w:hAnsi="黑体" w:eastAsia="黑体"/>
          <w:sz w:val="32"/>
        </w:rPr>
        <w:t>项目</w:t>
      </w:r>
      <w:r>
        <w:rPr>
          <w:rFonts w:hint="eastAsia" w:ascii="黑体" w:hAnsi="黑体" w:eastAsia="黑体"/>
          <w:spacing w:val="9"/>
          <w:sz w:val="31"/>
        </w:rPr>
        <w:t>项目绩效目标表</w:t>
      </w:r>
    </w:p>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tbl>
      <w:tblPr>
        <w:tblStyle w:val="6"/>
        <w:tblpPr w:leftFromText="180" w:rightFromText="180" w:vertAnchor="text" w:horzAnchor="page" w:tblpX="723" w:tblpY="302"/>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jc w:val="center"/>
              <w:rPr>
                <w:rFonts w:hint="eastAsia" w:ascii="宋体" w:hAnsi="宋体" w:eastAsia="宋体"/>
                <w:sz w:val="22"/>
              </w:rPr>
            </w:pPr>
            <w:r>
              <w:rPr>
                <w:rFonts w:hint="eastAsia" w:eastAsia="仿宋_GB2312"/>
                <w:sz w:val="24"/>
              </w:rPr>
              <w:t>湖北省消防救援总队机动支队利川训练与战勤保障基地设备购置项目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510.00</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eastAsia" w:ascii="Times New Roman" w:hAnsi="Times New Roman" w:eastAsia="宋体"/>
                <w:sz w:val="22"/>
                <w:lang w:eastAsia="zh-CN"/>
              </w:rPr>
              <w:t>510.00</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455" w:lineRule="auto"/>
              <w:rPr>
                <w:rFonts w:hint="default"/>
                <w:sz w:val="21"/>
              </w:rPr>
            </w:pPr>
          </w:p>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z w:val="22"/>
              </w:rPr>
              <w:t>确保湖北省消防救援总队机动支队利川训练与战勤保障基地设备储备到位，于2024年完成各类训练器材设备及办公设备采购,投入基地使用，提升综合救援能力。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w:t>
            </w:r>
            <w:r>
              <w:rPr>
                <w:rFonts w:hint="eastAsia" w:ascii="宋体" w:hAnsi="宋体" w:eastAsia="宋体"/>
                <w:spacing w:val="-17"/>
                <w:sz w:val="22"/>
              </w:rPr>
              <w:t xml:space="preserve"> </w:t>
            </w:r>
            <w:r>
              <w:rPr>
                <w:rFonts w:hint="eastAsia" w:ascii="宋体" w:hAnsi="宋体" w:eastAsia="宋体"/>
                <w:sz w:val="22"/>
              </w:rPr>
              <w:t>效</w:t>
            </w:r>
            <w:r>
              <w:rPr>
                <w:rFonts w:hint="eastAsia" w:ascii="宋体" w:hAnsi="宋体" w:eastAsia="宋体"/>
                <w:spacing w:val="-19"/>
                <w:sz w:val="22"/>
              </w:rPr>
              <w:t xml:space="preserve"> </w:t>
            </w:r>
            <w:r>
              <w:rPr>
                <w:rFonts w:hint="eastAsia" w:ascii="宋体" w:hAnsi="宋体" w:eastAsia="宋体"/>
                <w:sz w:val="22"/>
              </w:rPr>
              <w:t>指</w:t>
            </w:r>
            <w:r>
              <w:rPr>
                <w:rFonts w:hint="eastAsia" w:ascii="宋体" w:hAnsi="宋体" w:eastAsia="宋体"/>
                <w:spacing w:val="-19"/>
                <w:sz w:val="22"/>
              </w:rPr>
              <w:t xml:space="preserve"> </w:t>
            </w:r>
            <w:r>
              <w:rPr>
                <w:rFonts w:hint="eastAsia" w:ascii="宋体" w:hAnsi="宋体" w:eastAsia="宋体"/>
                <w:sz w:val="22"/>
              </w:rPr>
              <w:t>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产出指标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专款专用率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18"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sz w:val="21"/>
              </w:rPr>
            </w:pPr>
            <w:r>
              <w:rPr>
                <w:rFonts w:hint="eastAsia" w:ascii="宋体" w:hAnsi="宋体" w:eastAsia="宋体"/>
                <w:sz w:val="22"/>
                <w:lang w:eastAsia="zh-CN"/>
              </w:rPr>
              <w:t>效益指标</w:t>
            </w:r>
          </w:p>
        </w:tc>
        <w:tc>
          <w:tcPr>
            <w:tcW w:w="1893" w:type="dxa"/>
            <w:vMerge w:val="restart"/>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基层消防救援指战员保持充沛体力，进一步提升战斗力</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1893"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建成使用</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满意度</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服务对象</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满意度指标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消防救援人员满意度</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w:t>
            </w:r>
          </w:p>
        </w:tc>
      </w:tr>
    </w:tbl>
    <w:p>
      <w:pPr>
        <w:bidi w:val="0"/>
        <w:jc w:val="center"/>
      </w:pPr>
    </w:p>
    <w:sectPr>
      <w:headerReference r:id="rId20" w:type="default"/>
      <w:footerReference r:id="rId21" w:type="default"/>
      <w:pgSz w:w="11907" w:h="16840"/>
      <w:pgMar w:top="2098" w:right="1531" w:bottom="1984" w:left="1531" w:header="0" w:footer="64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55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56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502"/>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76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76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178"/>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701"/>
      </w:tabs>
      <w:spacing w:line="179" w:lineRule="auto"/>
      <w:ind w:left="582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Times New Roman" w:hAnsi="Times New Roman" w:eastAsia="宋体" w:cs="Times New Roman"/>
        <w:sz w:val="24"/>
        <w:szCs w:val="24"/>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82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r>
      <w:rPr>
        <w:rFonts w:ascii="Times New Roman" w:hAnsi="Times New Roman" w:eastAsia="Times New Roman" w:cs="Times New Roman"/>
        <w:spacing w:val="9"/>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164"/>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164"/>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164"/>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473"/>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492"/>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556"/>
      <w:jc w:val="center"/>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footnoteLayoutLikeWW8/>
    <w:adjustLineHeightInTable/>
    <w:doNotWrapTextWithPunct/>
    <w:doNotUseEastAsianBreakRules/>
    <w:useFELayout/>
    <w:doNotUseIndentAsNumberingTabStop/>
    <w:useAltKinsokuLineBreakRules/>
    <w:splitPgBreakAndParaMark/>
    <w:compatSetting w:name="compatibilityMode" w:uri="http://schemas.microsoft.com/office/word" w:val="14"/>
  </w:compat>
  <w:docVars>
    <w:docVar w:name="commondata" w:val="eyJoZGlkIjoiYmIwMzY4YWQ4ZTYyMmZmMWFmMjQ0ZDRmNjgwZmFiYjMifQ=="/>
  </w:docVars>
  <w:rsids>
    <w:rsidRoot w:val="00172A27"/>
    <w:rsid w:val="01A22AA6"/>
    <w:rsid w:val="02985DC6"/>
    <w:rsid w:val="03C350C4"/>
    <w:rsid w:val="03E2379C"/>
    <w:rsid w:val="04027B57"/>
    <w:rsid w:val="041651F4"/>
    <w:rsid w:val="05216CBB"/>
    <w:rsid w:val="05D237AF"/>
    <w:rsid w:val="064A5629"/>
    <w:rsid w:val="07342561"/>
    <w:rsid w:val="07DB29DD"/>
    <w:rsid w:val="09736C45"/>
    <w:rsid w:val="0AA41595"/>
    <w:rsid w:val="0B4B782C"/>
    <w:rsid w:val="0B877D0C"/>
    <w:rsid w:val="0C564D28"/>
    <w:rsid w:val="0C9E222B"/>
    <w:rsid w:val="0D1A6A5B"/>
    <w:rsid w:val="0D2B7F62"/>
    <w:rsid w:val="0F580DB7"/>
    <w:rsid w:val="0FAA1B68"/>
    <w:rsid w:val="109E6C9D"/>
    <w:rsid w:val="10B4201D"/>
    <w:rsid w:val="111D6403"/>
    <w:rsid w:val="11972DE9"/>
    <w:rsid w:val="12323946"/>
    <w:rsid w:val="12AB56A1"/>
    <w:rsid w:val="15334F60"/>
    <w:rsid w:val="15D66ED9"/>
    <w:rsid w:val="160E4ECC"/>
    <w:rsid w:val="18626996"/>
    <w:rsid w:val="18DA6CE0"/>
    <w:rsid w:val="19A370D2"/>
    <w:rsid w:val="1A9A2CE6"/>
    <w:rsid w:val="1C204A0A"/>
    <w:rsid w:val="1CF344F7"/>
    <w:rsid w:val="1D9236E6"/>
    <w:rsid w:val="1DE33F41"/>
    <w:rsid w:val="1E274614"/>
    <w:rsid w:val="1E805C34"/>
    <w:rsid w:val="1EA92CE5"/>
    <w:rsid w:val="1F90221B"/>
    <w:rsid w:val="215A6C10"/>
    <w:rsid w:val="21957635"/>
    <w:rsid w:val="24BC54EC"/>
    <w:rsid w:val="24DB0068"/>
    <w:rsid w:val="25016513"/>
    <w:rsid w:val="25284930"/>
    <w:rsid w:val="259325AE"/>
    <w:rsid w:val="25C1100C"/>
    <w:rsid w:val="26451C3D"/>
    <w:rsid w:val="280B47C0"/>
    <w:rsid w:val="289C6A0C"/>
    <w:rsid w:val="28F214DC"/>
    <w:rsid w:val="2B48051C"/>
    <w:rsid w:val="2B8E22CE"/>
    <w:rsid w:val="2C0C6D59"/>
    <w:rsid w:val="2C0F41E9"/>
    <w:rsid w:val="2C7E2D6A"/>
    <w:rsid w:val="2DCE431A"/>
    <w:rsid w:val="2E7705E4"/>
    <w:rsid w:val="2EBE07DF"/>
    <w:rsid w:val="2F9822A3"/>
    <w:rsid w:val="30FC55EE"/>
    <w:rsid w:val="31197F4E"/>
    <w:rsid w:val="31436D79"/>
    <w:rsid w:val="3146371C"/>
    <w:rsid w:val="31C44696"/>
    <w:rsid w:val="32E26A66"/>
    <w:rsid w:val="339546A7"/>
    <w:rsid w:val="353B47F7"/>
    <w:rsid w:val="39C742BF"/>
    <w:rsid w:val="3A263172"/>
    <w:rsid w:val="3A571AE7"/>
    <w:rsid w:val="3EA572C5"/>
    <w:rsid w:val="3F1D019B"/>
    <w:rsid w:val="3F5E1222"/>
    <w:rsid w:val="40583EC3"/>
    <w:rsid w:val="44B85878"/>
    <w:rsid w:val="456A6B72"/>
    <w:rsid w:val="4640004D"/>
    <w:rsid w:val="490C6836"/>
    <w:rsid w:val="49F5285D"/>
    <w:rsid w:val="4B4340EE"/>
    <w:rsid w:val="4DA3492F"/>
    <w:rsid w:val="4E157D95"/>
    <w:rsid w:val="4E787488"/>
    <w:rsid w:val="4F204746"/>
    <w:rsid w:val="4FC6709B"/>
    <w:rsid w:val="50C730CB"/>
    <w:rsid w:val="51D11073"/>
    <w:rsid w:val="520470F9"/>
    <w:rsid w:val="52242DD9"/>
    <w:rsid w:val="55AA2FBB"/>
    <w:rsid w:val="57415259"/>
    <w:rsid w:val="589D0BB5"/>
    <w:rsid w:val="58D266EC"/>
    <w:rsid w:val="59967ADE"/>
    <w:rsid w:val="5B0B1E06"/>
    <w:rsid w:val="5BAF30D9"/>
    <w:rsid w:val="5C896C14"/>
    <w:rsid w:val="5CBA7F88"/>
    <w:rsid w:val="5E0A45F7"/>
    <w:rsid w:val="5E0F5843"/>
    <w:rsid w:val="5FED1179"/>
    <w:rsid w:val="62A414BE"/>
    <w:rsid w:val="62A719F6"/>
    <w:rsid w:val="62CE0EDD"/>
    <w:rsid w:val="62EA74BA"/>
    <w:rsid w:val="630B32EB"/>
    <w:rsid w:val="63EB3090"/>
    <w:rsid w:val="66E7011D"/>
    <w:rsid w:val="674E2638"/>
    <w:rsid w:val="67B850C4"/>
    <w:rsid w:val="684626D0"/>
    <w:rsid w:val="693425EB"/>
    <w:rsid w:val="6A38073E"/>
    <w:rsid w:val="6AD42215"/>
    <w:rsid w:val="6B6537B4"/>
    <w:rsid w:val="6D147240"/>
    <w:rsid w:val="6D3246F4"/>
    <w:rsid w:val="6DF80910"/>
    <w:rsid w:val="6F266C35"/>
    <w:rsid w:val="6FEA3B98"/>
    <w:rsid w:val="719A575B"/>
    <w:rsid w:val="747B1953"/>
    <w:rsid w:val="749F1ADF"/>
    <w:rsid w:val="757A0C2B"/>
    <w:rsid w:val="75A53EDD"/>
    <w:rsid w:val="762A1882"/>
    <w:rsid w:val="767E397C"/>
    <w:rsid w:val="76F4221F"/>
    <w:rsid w:val="77585F7B"/>
    <w:rsid w:val="793A6280"/>
    <w:rsid w:val="798B2638"/>
    <w:rsid w:val="79B034B6"/>
    <w:rsid w:val="7AC56533"/>
    <w:rsid w:val="7B087D6E"/>
    <w:rsid w:val="7DDD6E17"/>
    <w:rsid w:val="7DEE336C"/>
    <w:rsid w:val="7F1C1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beforeLines="0" w:afterLines="0"/>
      <w:ind w:firstLine="420" w:firstLineChars="200"/>
    </w:pPr>
    <w:rPr>
      <w:rFonts w:hint="default"/>
      <w:sz w:val="21"/>
      <w:szCs w:val="24"/>
    </w:r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微软雅黑" w:hAnsi="微软雅黑" w:eastAsia="微软雅黑" w:cs="微软雅黑"/>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6.png"/><Relationship Id="rId31" Type="http://schemas.openxmlformats.org/officeDocument/2006/relationships/image" Target="media/image5.png"/><Relationship Id="rId30" Type="http://schemas.openxmlformats.org/officeDocument/2006/relationships/chart" Target="charts/chart4.xml"/><Relationship Id="rId3" Type="http://schemas.openxmlformats.org/officeDocument/2006/relationships/footnotes" Target="footnotes.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5.xml"/><Relationship Id="rId20" Type="http://schemas.openxmlformats.org/officeDocument/2006/relationships/header" Target="header2.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图</a:t>
            </a:r>
            <a:r>
              <a:rPr lang="en-US" altLang="zh-CN"/>
              <a:t>1</a:t>
            </a:r>
            <a:r>
              <a:t>：收入预算</a:t>
            </a:r>
            <a:endParaRPr lang="en-US" altLang="zh-CN"/>
          </a:p>
        </c:rich>
      </c:tx>
      <c:layout/>
      <c:overlay val="0"/>
      <c:spPr>
        <a:noFill/>
        <a:ln>
          <a:noFill/>
        </a:ln>
        <a:effectLst/>
      </c:spPr>
    </c:title>
    <c:autoTitleDeleted val="0"/>
    <c:plotArea>
      <c:layout>
        <c:manualLayout>
          <c:layoutTarget val="inner"/>
          <c:xMode val="edge"/>
          <c:yMode val="edge"/>
          <c:x val="0.103161745492553"/>
          <c:y val="0.269018743109151"/>
          <c:w val="0.802900444212177"/>
          <c:h val="0.631841234840132"/>
        </c:manualLayout>
      </c:layout>
      <c:pieChart>
        <c:varyColors val="1"/>
        <c:ser>
          <c:idx val="0"/>
          <c:order val="0"/>
          <c:tx>
            <c:strRef>
              <c:f>Sheet1!$B$1</c:f>
              <c:strCache>
                <c:ptCount val="1"/>
                <c:pt idx="0">
                  <c:v>图1：收入预算</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2"/>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Pt>
            <c:idx val="3"/>
            <c:bubble3D val="0"/>
            <c:spPr>
              <a:gradFill>
                <a:gsLst>
                  <a:gs pos="0">
                    <a:schemeClr val="accent1">
                      <a:lumMod val="60000"/>
                      <a:lumMod val="40000"/>
                      <a:lumOff val="60000"/>
                    </a:schemeClr>
                  </a:gs>
                  <a:gs pos="90000">
                    <a:schemeClr val="accent1">
                      <a:lumMod val="60000"/>
                    </a:schemeClr>
                  </a:gs>
                </a:gsLst>
                <a:lin ang="5400000" scaled="0"/>
              </a:gradFill>
              <a:ln>
                <a:gradFill>
                  <a:gsLst>
                    <a:gs pos="0">
                      <a:schemeClr val="accent1">
                        <a:lumMod val="60000"/>
                      </a:schemeClr>
                    </a:gs>
                    <a:gs pos="100000">
                      <a:schemeClr val="accent1">
                        <a:lumMod val="60000"/>
                        <a:lumMod val="75000"/>
                      </a:schemeClr>
                    </a:gs>
                  </a:gsLst>
                  <a:lin ang="5400000" scaled="1"/>
                </a:gradFill>
              </a:ln>
              <a:effectLst>
                <a:outerShdw blurRad="76200" dist="25400" dir="2700000" algn="tl" rotWithShape="0">
                  <a:schemeClr val="accent1">
                    <a:lumMod val="60000"/>
                    <a:lumMod val="50000"/>
                    <a:alpha val="30000"/>
                  </a:schemeClr>
                </a:outerShdw>
              </a:effectLst>
            </c:spPr>
          </c:dPt>
          <c:dLbls>
            <c:dLbl>
              <c:idx val="0"/>
              <c:layout>
                <c:manualLayout>
                  <c:x val="0.00203893902724449"/>
                  <c:y val="-0.12704394254746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17208147493588"/>
                  <c:y val="-0.01066244490229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766520250537888"/>
                  <c:y val="-0.049251939191285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上年结转</c:v>
                </c:pt>
                <c:pt idx="1">
                  <c:v>一般公共预算收入</c:v>
                </c:pt>
                <c:pt idx="2">
                  <c:v>其他收入</c:v>
                </c:pt>
              </c:strCache>
            </c:strRef>
          </c:cat>
          <c:val>
            <c:numRef>
              <c:f>Sheet1!$B$2:$B$5</c:f>
              <c:numCache>
                <c:formatCode>0.00%</c:formatCode>
                <c:ptCount val="4"/>
                <c:pt idx="0">
                  <c:v>0.4255</c:v>
                </c:pt>
                <c:pt idx="1">
                  <c:v>0.0812</c:v>
                </c:pt>
                <c:pt idx="2">
                  <c:v>0.4933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75089559877175"/>
          <c:y val="0.449630916196266"/>
          <c:w val="0.233751279426817"/>
          <c:h val="0.18910117238384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图2：支出预算</c:v>
                </c:pt>
              </c:strCache>
            </c:strRef>
          </c:tx>
          <c:spPr/>
          <c:explosion val="0"/>
          <c:dPt>
            <c:idx val="0"/>
            <c:bubble3D val="0"/>
            <c:spPr>
              <a:gradFill>
                <a:gsLst>
                  <a:gs pos="0">
                    <a:schemeClr val="accent6">
                      <a:lumMod val="40000"/>
                      <a:lumOff val="60000"/>
                    </a:schemeClr>
                  </a:gs>
                  <a:gs pos="90000">
                    <a:schemeClr val="accent6"/>
                  </a:gs>
                </a:gsLst>
                <a:lin ang="5400000" scaled="0"/>
              </a:gradFill>
              <a:ln>
                <a:gradFill>
                  <a:gsLst>
                    <a:gs pos="0">
                      <a:schemeClr val="accent6"/>
                    </a:gs>
                    <a:gs pos="100000">
                      <a:schemeClr val="accent6">
                        <a:lumMod val="75000"/>
                      </a:schemeClr>
                    </a:gs>
                  </a:gsLst>
                  <a:lin ang="5400000" scaled="1"/>
                </a:gradFill>
              </a:ln>
              <a:effectLst>
                <a:outerShdw blurRad="76200" dist="25400" dir="2700000" algn="tl" rotWithShape="0">
                  <a:schemeClr val="accent6">
                    <a:lumMod val="50000"/>
                    <a:alpha val="30000"/>
                  </a:schemeClr>
                </a:outerShdw>
              </a:effectLst>
            </c:spPr>
          </c:dPt>
          <c:dPt>
            <c:idx val="1"/>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Lbls>
            <c:dLbl>
              <c:idx val="0"/>
              <c:layout>
                <c:manualLayout>
                  <c:x val="0.0660610011883249"/>
                  <c:y val="-0.01594762610489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0680116811343"/>
                  <c:y val="-0.006151812561344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c:v>
                </c:pt>
                <c:pt idx="1">
                  <c:v>项目</c:v>
                </c:pt>
              </c:strCache>
            </c:strRef>
          </c:cat>
          <c:val>
            <c:numRef>
              <c:f>Sheet1!$B$2:$B$3</c:f>
              <c:numCache>
                <c:formatCode>0.00%</c:formatCode>
                <c:ptCount val="2"/>
                <c:pt idx="0">
                  <c:v>0.329</c:v>
                </c:pt>
                <c:pt idx="1">
                  <c:v>0.671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71828944189418"/>
          <c:y val="0.471844453888653"/>
          <c:w val="0.0964000966417009"/>
          <c:h val="0.1389715257118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图3：财政拨款支出预算</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Lbls>
            <c:dLbl>
              <c:idx val="0"/>
              <c:layout>
                <c:manualLayout>
                  <c:x val="0.0223215899204281"/>
                  <c:y val="-0.06533954962479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70520941832884"/>
                  <c:y val="-0.03700615817651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8623522923258"/>
                  <c:y val="-0.01356189292838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(一)社会保障和就业支出</c:v>
                </c:pt>
                <c:pt idx="1">
                  <c:v>(二)卫生健康支出</c:v>
                </c:pt>
                <c:pt idx="2">
                  <c:v>三)住房保障支出</c:v>
                </c:pt>
                <c:pt idx="3">
                  <c:v>(四)灾害防治及应急管理支出</c:v>
                </c:pt>
              </c:strCache>
            </c:strRef>
          </c:cat>
          <c:val>
            <c:numRef>
              <c:f>Sheet1!$B$2:$B$5</c:f>
              <c:numCache>
                <c:formatCode>0.00%</c:formatCode>
                <c:ptCount val="4"/>
                <c:pt idx="0">
                  <c:v>0.3528</c:v>
                </c:pt>
                <c:pt idx="1">
                  <c:v>0.1458</c:v>
                </c:pt>
                <c:pt idx="2">
                  <c:v>0.0426</c:v>
                </c:pt>
                <c:pt idx="3">
                  <c:v>0.44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mn-ea"/>
                <a:ea typeface="+mn-ea"/>
                <a:cs typeface="+mn-ea"/>
                <a:sym typeface="+mn-ea"/>
              </a:defRPr>
            </a:pPr>
            <a:r>
              <a:rPr sz="1200">
                <a:latin typeface="+mn-ea"/>
                <a:ea typeface="+mn-ea"/>
                <a:cs typeface="+mn-ea"/>
                <a:sym typeface="+mn-ea"/>
              </a:rPr>
              <a:t>图</a:t>
            </a:r>
            <a:r>
              <a:rPr lang="en-US" altLang="zh-CN" sz="1200">
                <a:latin typeface="+mn-ea"/>
                <a:ea typeface="+mn-ea"/>
                <a:cs typeface="+mn-ea"/>
                <a:sym typeface="+mn-ea"/>
              </a:rPr>
              <a:t>4</a:t>
            </a:r>
            <a:r>
              <a:rPr altLang="en-US" sz="1200">
                <a:latin typeface="+mn-ea"/>
                <a:ea typeface="+mn-ea"/>
                <a:cs typeface="+mn-ea"/>
                <a:sym typeface="+mn-ea"/>
              </a:rPr>
              <a:t>：一般公共预算当年财政拨款变化情况</a:t>
            </a:r>
            <a:endParaRPr altLang="en-US" sz="1200">
              <a:latin typeface="+mn-ea"/>
              <a:ea typeface="+mn-ea"/>
              <a:cs typeface="+mn-ea"/>
              <a:sym typeface="+mn-ea"/>
            </a:endParaRPr>
          </a:p>
          <a:p>
            <a:pPr defTabSz="914400">
              <a:defRPr lang="zh-CN" sz="1400" b="0" i="0" u="none" strike="noStrike" kern="1200" spc="0" baseline="0">
                <a:solidFill>
                  <a:schemeClr val="tx1"/>
                </a:solidFill>
                <a:latin typeface="+mn-ea"/>
                <a:ea typeface="+mn-ea"/>
                <a:cs typeface="+mn-ea"/>
                <a:sym typeface="+mn-ea"/>
              </a:defRPr>
            </a:pPr>
            <a:r>
              <a:rPr altLang="en-US" sz="1200">
                <a:latin typeface="+mn-ea"/>
                <a:ea typeface="+mn-ea"/>
                <a:cs typeface="+mn-ea"/>
                <a:sym typeface="+mn-ea"/>
              </a:rPr>
              <a:t>（单位：万元）</a:t>
            </a:r>
            <a:endParaRPr altLang="en-US" sz="1200">
              <a:latin typeface="+mn-ea"/>
              <a:ea typeface="+mn-ea"/>
              <a:cs typeface="+mn-ea"/>
              <a:sym typeface="+mn-ea"/>
            </a:endParaRPr>
          </a:p>
        </c:rich>
      </c:tx>
      <c:layout>
        <c:manualLayout>
          <c:xMode val="edge"/>
          <c:yMode val="edge"/>
          <c:x val="0.172086875760943"/>
          <c:y val="0.0449927431059507"/>
        </c:manualLayout>
      </c:layout>
      <c:overlay val="0"/>
      <c:spPr>
        <a:noFill/>
        <a:ln>
          <a:noFill/>
        </a:ln>
        <a:effectLst/>
      </c:spPr>
    </c:title>
    <c:autoTitleDeleted val="0"/>
    <c:plotArea>
      <c:layout>
        <c:manualLayout>
          <c:layoutTarget val="inner"/>
          <c:xMode val="edge"/>
          <c:yMode val="edge"/>
          <c:x val="0.064925709140027"/>
          <c:y val="0.22218190614417"/>
          <c:w val="0.90205613087198"/>
          <c:h val="0.657934204160619"/>
        </c:manualLayout>
      </c:layout>
      <c:barChart>
        <c:barDir val="col"/>
        <c:grouping val="clustered"/>
        <c:varyColors val="0"/>
        <c:ser>
          <c:idx val="0"/>
          <c:order val="0"/>
          <c:tx>
            <c:strRef>
              <c:f>Sheet1!$B$2</c:f>
              <c:strCache>
                <c:ptCount val="1"/>
                <c:pt idx="0">
                  <c:v/>
                </c:pt>
              </c:strCache>
            </c:strRef>
          </c:tx>
          <c:spPr>
            <a:gradFill>
              <a:gsLst>
                <a:gs pos="30000">
                  <a:schemeClr val="accent1">
                    <a:lumMod val="60000"/>
                    <a:lumOff val="40000"/>
                  </a:schemeClr>
                </a:gs>
                <a:gs pos="95000">
                  <a:schemeClr val="accent1"/>
                </a:gs>
              </a:gsLst>
              <a:lin ang="16200000" scaled="0"/>
            </a:gradFill>
            <a:ln w="9525">
              <a:noFill/>
            </a:ln>
            <a:effectLst>
              <a:outerShdw blurRad="50800" dist="12700" dir="2700000" algn="tl" rotWithShape="0">
                <a:schemeClr val="accent1">
                  <a:lumMod val="50000"/>
                  <a:alpha val="65000"/>
                </a:schemeClr>
              </a:outerShdw>
            </a:effectLst>
            <a:sp3d contourW="9525"/>
          </c:spPr>
          <c:invertIfNegative val="0"/>
          <c:dPt>
            <c:idx val="0"/>
            <c:invertIfNegative val="0"/>
            <c:bubble3D val="0"/>
            <c:spPr>
              <a:gradFill>
                <a:gsLst>
                  <a:gs pos="50000">
                    <a:schemeClr val="accent1"/>
                  </a:gs>
                  <a:gs pos="0">
                    <a:schemeClr val="accent1">
                      <a:lumMod val="25000"/>
                      <a:lumOff val="75000"/>
                    </a:schemeClr>
                  </a:gs>
                  <a:gs pos="100000">
                    <a:schemeClr val="accent1">
                      <a:lumMod val="85000"/>
                    </a:schemeClr>
                  </a:gs>
                </a:gsLst>
                <a:lin ang="5400000" scaled="1"/>
              </a:gradFill>
              <a:ln w="9525">
                <a:noFill/>
              </a:ln>
              <a:effectLst>
                <a:outerShdw blurRad="50800" dist="12700" dir="2700000" algn="tl" rotWithShape="0">
                  <a:schemeClr val="accent1">
                    <a:lumMod val="50000"/>
                    <a:alpha val="65000"/>
                  </a:schemeClr>
                </a:outerShdw>
              </a:effectLst>
              <a:sp3d contourW="9525"/>
            </c:spPr>
          </c:dPt>
          <c:dPt>
            <c:idx val="1"/>
            <c:invertIfNegative val="0"/>
            <c:bubble3D val="0"/>
            <c:spPr>
              <a:gradFill>
                <a:gsLst>
                  <a:gs pos="2000">
                    <a:srgbClr val="CDFBCD"/>
                  </a:gs>
                  <a:gs pos="67000">
                    <a:srgbClr val="72D773"/>
                  </a:gs>
                  <a:gs pos="98000">
                    <a:srgbClr val="72D673"/>
                  </a:gs>
                  <a:gs pos="35000">
                    <a:srgbClr val="A9E4A9"/>
                  </a:gs>
                </a:gsLst>
                <a:lin ang="16200000" scaled="0"/>
              </a:gradFill>
              <a:ln w="9525">
                <a:noFill/>
              </a:ln>
              <a:effectLst>
                <a:outerShdw blurRad="50800" dist="12700" dir="2700000" algn="tl" rotWithShape="0">
                  <a:schemeClr val="accent1">
                    <a:lumMod val="50000"/>
                    <a:alpha val="65000"/>
                  </a:schemeClr>
                </a:outerShdw>
              </a:effectLst>
              <a:sp3d contourW="9525"/>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2023年执行数</c:v>
                </c:pt>
                <c:pt idx="1">
                  <c:v>2024年预算数</c:v>
                </c:pt>
              </c:strCache>
            </c:strRef>
          </c:cat>
          <c:val>
            <c:numRef>
              <c:f>Sheet1!$B$3:$B$4</c:f>
              <c:numCache>
                <c:formatCode>_ * #,##0.00_ ;_ * \-#,##0.00_ ;_ * "-"??_ ;_ @_ </c:formatCode>
                <c:ptCount val="2"/>
                <c:pt idx="0">
                  <c:v>3610.83</c:v>
                </c:pt>
                <c:pt idx="1">
                  <c:v>3566.56</c:v>
                </c:pt>
              </c:numCache>
            </c:numRef>
          </c:val>
        </c:ser>
        <c:dLbls>
          <c:showLegendKey val="0"/>
          <c:showVal val="1"/>
          <c:showCatName val="0"/>
          <c:showSerName val="0"/>
          <c:showPercent val="0"/>
          <c:showBubbleSize val="0"/>
        </c:dLbls>
        <c:gapWidth val="150"/>
        <c:overlap val="-20"/>
        <c:axId val="242217138"/>
        <c:axId val="552433984"/>
      </c:barChart>
      <c:catAx>
        <c:axId val="24221713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2433984"/>
        <c:crosses val="autoZero"/>
        <c:auto val="1"/>
        <c:lblAlgn val="ctr"/>
        <c:lblOffset val="100"/>
        <c:noMultiLvlLbl val="0"/>
      </c:catAx>
      <c:valAx>
        <c:axId val="552433984"/>
        <c:scaling>
          <c:orientation val="minMax"/>
        </c:scaling>
        <c:delete val="0"/>
        <c:axPos val="l"/>
        <c:majorGridlines>
          <c:spPr>
            <a:ln w="9525" cap="flat" cmpd="sng" algn="ctr">
              <a:solidFill>
                <a:schemeClr val="tx1">
                  <a:lumMod val="15000"/>
                  <a:lumOff val="85000"/>
                </a:schemeClr>
              </a:solidFill>
              <a:round/>
            </a:ln>
            <a:effectLst/>
          </c:spPr>
        </c:majorGridlines>
        <c:numFmt formatCode="_ * #,##0.00_ ;_ * \-#,##0.00_ ;_ * &quot;-&quot;??_ ;_ @_ "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2422171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3">
    <a:dk1>
      <a:srgbClr val="000000"/>
    </a:dk1>
    <a:lt1>
      <a:srgbClr val="FFFFFF"/>
    </a:lt1>
    <a:dk2>
      <a:srgbClr val="DEF8FF"/>
    </a:dk2>
    <a:lt2>
      <a:srgbClr val="B9D2FD"/>
    </a:lt2>
    <a:accent1>
      <a:srgbClr val="33BAFF"/>
    </a:accent1>
    <a:accent2>
      <a:srgbClr val="FE8932"/>
    </a:accent2>
    <a:accent3>
      <a:srgbClr val="6C92FD"/>
    </a:accent3>
    <a:accent4>
      <a:srgbClr val="FB5F36"/>
    </a:accent4>
    <a:accent5>
      <a:srgbClr val="875AFA"/>
    </a:accent5>
    <a:accent6>
      <a:srgbClr val="1580F9"/>
    </a:accent6>
    <a:hlink>
      <a:srgbClr val="141E26"/>
    </a:hlink>
    <a:folHlink>
      <a:srgbClr val="4C579B"/>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34</Pages>
  <TotalTime>114</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2024-03-26T12:08:00Z</dcterms:created>
  <dc:creator>admin</dc:creator>
  <cp:lastModifiedBy>贾晓</cp:lastModifiedBy>
  <cp:lastPrinted>2024-04-25T05:00:17Z</cp:lastPrinted>
  <dcterms:modified xsi:type="dcterms:W3CDTF">2024-04-25T07:09:41Z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2024-04-18T10:56:54Z</vt:filetime>
  </property>
  <property fmtid="{D5CDD505-2E9C-101B-9397-08002B2CF9AE}" pid="4" name="KSOProductBuildVer">
    <vt:lpwstr>2052-11.8.2.10229</vt:lpwstr>
  </property>
  <property fmtid="{D5CDD505-2E9C-101B-9397-08002B2CF9AE}" pid="5" name="ICV">
    <vt:lpwstr>9BA12DDC3D86485D8FFB3429D56BBBE1_12</vt:lpwstr>
  </property>
</Properties>
</file>